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77" w:rsidRP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77">
        <w:rPr>
          <w:rFonts w:ascii="Times New Roman" w:hAnsi="Times New Roman" w:cs="Times New Roman"/>
          <w:b/>
          <w:sz w:val="24"/>
          <w:szCs w:val="24"/>
        </w:rPr>
        <w:t>Вопросы</w:t>
      </w:r>
      <w:r w:rsidR="009407B3">
        <w:rPr>
          <w:rFonts w:ascii="Times New Roman" w:hAnsi="Times New Roman" w:cs="Times New Roman"/>
          <w:b/>
          <w:sz w:val="24"/>
          <w:szCs w:val="24"/>
        </w:rPr>
        <w:t>-ответы</w:t>
      </w:r>
    </w:p>
    <w:p w:rsid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60"/>
        <w:gridCol w:w="4822"/>
        <w:gridCol w:w="9894"/>
      </w:tblGrid>
      <w:tr w:rsidR="00251066" w:rsidTr="0059648E">
        <w:tc>
          <w:tcPr>
            <w:tcW w:w="560" w:type="dxa"/>
          </w:tcPr>
          <w:p w:rsidR="00251066" w:rsidRDefault="00251066" w:rsidP="007E78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2" w:type="dxa"/>
          </w:tcPr>
          <w:p w:rsidR="00251066" w:rsidRDefault="00251066" w:rsidP="007E78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9894" w:type="dxa"/>
          </w:tcPr>
          <w:p w:rsidR="00251066" w:rsidRDefault="0095211E" w:rsidP="00922F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51066" w:rsidTr="0059648E">
        <w:tc>
          <w:tcPr>
            <w:tcW w:w="560" w:type="dxa"/>
          </w:tcPr>
          <w:p w:rsidR="00251066" w:rsidRPr="003E5A5F" w:rsidRDefault="00251066" w:rsidP="003E5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251066" w:rsidRPr="003E5A5F" w:rsidRDefault="00251066" w:rsidP="003E5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4" w:type="dxa"/>
          </w:tcPr>
          <w:p w:rsidR="00251066" w:rsidRPr="003E5A5F" w:rsidRDefault="00251066" w:rsidP="003E5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1066" w:rsidTr="0059648E">
        <w:tc>
          <w:tcPr>
            <w:tcW w:w="560" w:type="dxa"/>
          </w:tcPr>
          <w:p w:rsidR="00251066" w:rsidRPr="008C2D59" w:rsidRDefault="00251066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251066" w:rsidRPr="008C2D59" w:rsidRDefault="00251066" w:rsidP="00EB1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:rsidR="00251066" w:rsidRDefault="00251066" w:rsidP="00EB1CC6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98" w:rsidTr="0059648E">
        <w:tc>
          <w:tcPr>
            <w:tcW w:w="560" w:type="dxa"/>
          </w:tcPr>
          <w:p w:rsidR="00A05F9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2E0E2C" w:rsidRPr="002E0E2C" w:rsidRDefault="00682086" w:rsidP="005F4DEF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ПАО «ММК»</w:t>
            </w:r>
          </w:p>
          <w:p w:rsidR="00682086" w:rsidRPr="00682086" w:rsidRDefault="00682086" w:rsidP="00682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86">
              <w:rPr>
                <w:rFonts w:ascii="Times New Roman" w:hAnsi="Times New Roman" w:cs="Times New Roman"/>
                <w:sz w:val="24"/>
                <w:szCs w:val="24"/>
              </w:rPr>
              <w:t>С 01 сентября 2025 г. вступают в силу изменения в ФЗ № 116: «Организации, эксплуатирующие опасные производственные объекты I класса опасности, обязаны обеспечивать проведение аудита систем управления промышленной безопасностью».</w:t>
            </w:r>
          </w:p>
          <w:p w:rsidR="00A05F98" w:rsidRPr="008C2D59" w:rsidRDefault="00682086" w:rsidP="00682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Вопрос:</w:t>
            </w:r>
            <w:r w:rsidRPr="00682086">
              <w:rPr>
                <w:rFonts w:ascii="Times New Roman" w:hAnsi="Times New Roman" w:cs="Times New Roman"/>
                <w:sz w:val="24"/>
                <w:szCs w:val="24"/>
              </w:rPr>
              <w:t xml:space="preserve"> Будет ли являться отчет о проведен</w:t>
            </w:r>
            <w:proofErr w:type="gramStart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>дита СУПБ основным документом, подтверждающим соответствие СУПБ требованиям промышленной безопасности, и каким образом он может повлиять на проведение проверок объектов 1 класса опасности в рамках постоянного надзора?</w:t>
            </w:r>
          </w:p>
        </w:tc>
        <w:tc>
          <w:tcPr>
            <w:tcW w:w="9894" w:type="dxa"/>
          </w:tcPr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требование о том, что с 1 сентября 2025 года организация, эксплуатирующая ОПО, обязана принимать меры по устранению выявленных по результатам аудита системы управления промышленной безопасностью (СУПБ) нарушений требований промышленной безопасности и осуществлять корректировку мер по снижению риска аварий на ОПО с учетом рекомендаций по результатам такого аудита.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Необходимо разработать (актуализировать) положение о проведен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ии ау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дита систем управления промышленной безопасностью (СУПБ), а также разрабатывать в дальнейшем планы мероприятий по устранению нарушений требований промышленной безопасности по результатам аудита СУПБ предприятия.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Эффективное управление рисками, создание безопасных условий труда требуют постоянного мониторинга и улучшения систем управления. В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этом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контексте аудит системы управления промышленной безопасностью играет ключевую роль, позволяя выявлять уязвимости, оценивать эффективность действующих мер, разрабатывать рекомендации для их улучшения.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Следить за функционированием СУПБ должны на объектах I и II классов опасности. Такое требование закреплено в п. 3 ст. 11 Федерального закона от 21.07.1997 № 116-ФЗ. Для эффективной работы необходимо регулярно проводить внутренние проверки всех процессов на производстве. Но со временем внутренний мониторинг может стать формальностью. В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выявляются только после возникновения инцидента с негативными последствиями. 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Основная цель аудита заключается не только в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выявлении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нарушений, но также в формировании культуры безопасности на всех уровнях организации. Необходимо, чтобы проверку проводили независимые эксперты, способные объективно оценить ситуацию, </w:t>
            </w: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предложить эффективные решения. Результаты помогают руководству принимать обоснованные решения, направлять ресурсы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критические области.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Цели аудита СУПБ включают: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-выявление несоответствий, потенциальных угроз; 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качества процессов, повышение эффективности системы;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-обнаружение нарушений нормативных требований, стандартов.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Задачи аудита системы управления </w:t>
            </w:r>
            <w:proofErr w:type="spell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промбезопасностью</w:t>
            </w:r>
            <w:proofErr w:type="spell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-оценка соответствия системы установленным стандартам, нормативам; 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-выявление, анализ потенциальных рисков и угроз для безопасности техпроцессов; 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-разработка рекомендаций по улучшению процессов, повышению эффективности контроля над техпроцессами; 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-обучение, повышение квалификации сотрудников по выявленным недостаткам; 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-мониторинг, контроль выполнения разработанных рекомендаций.  </w:t>
            </w:r>
          </w:p>
          <w:p w:rsidR="0059648E" w:rsidRPr="0059648E" w:rsidRDefault="0059648E" w:rsidP="0059648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Основная задача аудита заключается в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улучшении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существующих процессов, выявлении недостатков в системе </w:t>
            </w:r>
            <w:proofErr w:type="spell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промбезопасности</w:t>
            </w:r>
            <w:proofErr w:type="spell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возникновения аварий, а также в ее постоянном совершенствовании.</w:t>
            </w:r>
          </w:p>
          <w:p w:rsidR="00A05F98" w:rsidRPr="0059648E" w:rsidRDefault="0059648E" w:rsidP="005964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новой редакции Федерального закона № 116-ФЗ введено дополнительное требование о том, что организации, эксплуатирующие ОПО I класса опасности, обязаны обеспечивать проведение аудита систем управления промышленной безопасностью. Сведения о результатах такого аудита ежегодно до 1 апреля соответствующего календарного года представляются коллегиальным органам управления данных эксплуатирующих организаций и их учредителям. Ограничения на доступ учредителей к указанным сведениям могут быть установлены федеральным законом. </w:t>
            </w:r>
          </w:p>
        </w:tc>
      </w:tr>
      <w:tr w:rsidR="00A05F98" w:rsidTr="0059648E">
        <w:tc>
          <w:tcPr>
            <w:tcW w:w="560" w:type="dxa"/>
          </w:tcPr>
          <w:p w:rsidR="00A05F9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2" w:type="dxa"/>
          </w:tcPr>
          <w:p w:rsidR="00A05F98" w:rsidRDefault="00682086" w:rsidP="005F4DEF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0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ПАО «ММК»</w:t>
            </w:r>
          </w:p>
          <w:p w:rsidR="00682086" w:rsidRDefault="00682086" w:rsidP="00682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820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утвержденного от 31.12.2020 N 2415 с 01 февраля 2021 по 31 декабря 2025 год </w:t>
            </w:r>
            <w:proofErr w:type="spellStart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работа по проведению эксперимента внедрения системы дистанционного контроля </w:t>
            </w:r>
            <w:r w:rsidRPr="006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безопасности с целью исполнения Указа Президента РФ от 06.05.2018 N 198, в части, касающейся создания и внедрения системы государственного дистанционного мониторинга состояния промышленной безопасности, предусматривающей автоматизированный сбор, фиксацию, обобщение, систематизацию и</w:t>
            </w:r>
            <w:proofErr w:type="gramEnd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 xml:space="preserve"> оценку информации о значениях параметров технологических процессов на промышленных объектах в целях определения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яния промышленной безопасности.</w:t>
            </w:r>
          </w:p>
          <w:p w:rsidR="00682086" w:rsidRPr="008C2D59" w:rsidRDefault="00682086" w:rsidP="00682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0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Вопрос:</w:t>
            </w:r>
            <w:r w:rsidRPr="00682086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внедрение СДК повлияет на организацию контрольно-надзорных мероприятий в </w:t>
            </w:r>
            <w:proofErr w:type="gramStart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682086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производственных объектов 1, 2 классов  опасности со стороны Ростехнадзора, и как будут учитываться данные по ОПО, передаваемые через СДК, при проведении КНМ?</w:t>
            </w:r>
          </w:p>
        </w:tc>
        <w:tc>
          <w:tcPr>
            <w:tcW w:w="9894" w:type="dxa"/>
          </w:tcPr>
          <w:p w:rsidR="0059648E" w:rsidRPr="0059648E" w:rsidRDefault="0059648E" w:rsidP="0059648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color w:val="0000CC"/>
                <w:sz w:val="24"/>
                <w:szCs w:val="24"/>
              </w:rPr>
              <w:lastRenderedPageBreak/>
              <w:t xml:space="preserve">      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дистанционного контроля (надзора) промышленной безопасности (далее –      СДК ПБ) представляет собой комплекс программных и программно-аппаратных средств, а также специализированных технических средств, обеспечивающих непрерывное получение, обработку и передачу в режиме реального времени информации о значениях параметров технологических процессов и процессов обеспечения функционирования опасного производственного объекта, определяющих его безопасность, о состоянии систем противоаварийной защиты и их срабатывании, состоянии технических устройств, а также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регистрации аварий и инцидентов на опасном производственном объекте. При этом объектом дистанционного контроля </w:t>
            </w:r>
            <w:proofErr w:type="spell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яляется</w:t>
            </w:r>
            <w:proofErr w:type="spell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опасный производственный объект, оснащенный СДК ПБ.</w:t>
            </w:r>
          </w:p>
          <w:p w:rsidR="0059648E" w:rsidRPr="0059648E" w:rsidRDefault="0059648E" w:rsidP="0059648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 2014 года </w:t>
            </w:r>
            <w:proofErr w:type="spell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работа по развитию прототипа СДК ПБ, предусматривающая включение в контур контроля и обработки системно-технических решений для всех типов устройств и систем, предусмотренных правилами безопасности.</w:t>
            </w:r>
          </w:p>
          <w:p w:rsidR="0059648E" w:rsidRPr="0059648E" w:rsidRDefault="0059648E" w:rsidP="0059648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Проект Федерального закона «О внесении изменений в Федеральный закон «О промышленной безопасности опасных производственных объектов» и статью 13.1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в части внедрения применения системы дистанционного контроля промышленной безопасности и создания системы государственного мониторинга в области промышленной безопасности» (далее – законопроект) разработан и представлен в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Правительство Российской Федерации письмом Ростехнадзора от 28 февраля 2019 года № 00-01-07/172.</w:t>
            </w:r>
          </w:p>
          <w:p w:rsidR="0059648E" w:rsidRPr="0059648E" w:rsidRDefault="0059648E" w:rsidP="0059648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все цели эксперимента СДК ПБ будут достигнуты, то следующим шагом после его завершения логично предположить </w:t>
            </w:r>
            <w:proofErr w:type="spell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легитимизацию</w:t>
            </w:r>
            <w:proofErr w:type="spell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дистанционного контроля как вида надзора (возможно, как режима «мониторинг»), тем более что согласно Федеральному закону № 248-ФЗ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лицом, т. е. речь идет о возможных перспективных изменениях в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 о федеральном государственном надзоре в области промышленной безопасности.</w:t>
            </w:r>
          </w:p>
          <w:p w:rsidR="0059648E" w:rsidRPr="0059648E" w:rsidRDefault="0059648E" w:rsidP="0059648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Для организаций, внедривших СДК ПБ, законопроектом предусмотрены положения, направленные на снижение административной нагрузки, посредством отмены плановых проверок и отмены режима постоянного государственного надзора.</w:t>
            </w:r>
          </w:p>
          <w:p w:rsidR="009B0191" w:rsidRPr="0059648E" w:rsidRDefault="0059648E" w:rsidP="0059648E">
            <w:pPr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Предполагается, что внедрение дистанционного мониторинга за опасными производственными объектами положительно скажется на повышении уровня контрольно-надзорных мероприятий, качестве расследования аварий и случаев травматизма.</w:t>
            </w:r>
          </w:p>
        </w:tc>
      </w:tr>
      <w:tr w:rsidR="00A05F98" w:rsidTr="0059648E">
        <w:tc>
          <w:tcPr>
            <w:tcW w:w="560" w:type="dxa"/>
          </w:tcPr>
          <w:p w:rsidR="00A05F9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A05F98" w:rsidRPr="00962FB6" w:rsidRDefault="00962FB6" w:rsidP="005F4DEF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АО «ЧЦЗ»</w:t>
            </w:r>
          </w:p>
          <w:p w:rsidR="00962FB6" w:rsidRPr="008C2D59" w:rsidRDefault="00962FB6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Могут ли в </w:t>
            </w:r>
            <w:proofErr w:type="gram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proofErr w:type="gram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 предприятия находится лица ответственные за осуществление производственного контроля при эксплуатации металлургических агрегатов и других технических устройств </w:t>
            </w:r>
            <w:r w:rsidRPr="0096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поднадзорных </w:t>
            </w:r>
            <w:proofErr w:type="spell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Ростехнадзору</w:t>
            </w:r>
            <w:proofErr w:type="spell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, так как ответственные руководствуются разными Правилами и нормативными актами?</w:t>
            </w:r>
          </w:p>
        </w:tc>
        <w:tc>
          <w:tcPr>
            <w:tcW w:w="9894" w:type="dxa"/>
          </w:tcPr>
          <w:p w:rsidR="0059648E" w:rsidRPr="0059648E" w:rsidRDefault="0059648E" w:rsidP="005964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частью 1 статьи 11 Федерального закона от 21.07.1997 № 116–ФЗ «О промышленной безопасности опасных производственных объектов» организация, эксплуатирующая опасный производственный объект, обязана организовывать и осуществлять производственный контроль   за соблюдением требований промышленной безопасности в соответствии с требованиями, устанавливаемыми Правительством Российской Федерации.</w:t>
            </w:r>
            <w:proofErr w:type="gramEnd"/>
          </w:p>
          <w:p w:rsidR="0059648E" w:rsidRPr="0059648E" w:rsidRDefault="0059648E" w:rsidP="005964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требованиями Правил организации и осуществления производственного контроля за соблюдением требований промышленной безопасности, утвержденных постановлением Правительства Российской Федерации от 18.12.2020 № 2168, эксплуатирующая организация разрабатывают положение о производственном контроле с учетом особенностей, эксплуатируемых опасных производственных объектов и условий их эксплуатации.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 о производственном контроле утверждается руководителем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эксплуатирующей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организации. Ответственность за организацию производственного контроля несет руководитель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эксплуатирующей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организации. Ответственность за осуществление производственного контроля несут лица, на которых возложены такие обязанности в соответствии с законодательством Российской Федерации.</w:t>
            </w:r>
          </w:p>
          <w:p w:rsidR="00F56B4C" w:rsidRPr="0059648E" w:rsidRDefault="0059648E" w:rsidP="0059648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Непосредственная организация и осуществление производственного контроля регулируются локальными нормативными актами эксплуатирующей организации в зависимости от количества и класса опасности опасных производственных объектов, в соответствии с положением о производственном контроле и должностными инструкциями ответственных лиц.   </w:t>
            </w:r>
          </w:p>
        </w:tc>
      </w:tr>
      <w:tr w:rsidR="00064399" w:rsidTr="0059648E">
        <w:tc>
          <w:tcPr>
            <w:tcW w:w="560" w:type="dxa"/>
          </w:tcPr>
          <w:p w:rsidR="00064399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2" w:type="dxa"/>
          </w:tcPr>
          <w:p w:rsidR="00962FB6" w:rsidRPr="00962FB6" w:rsidRDefault="00962FB6" w:rsidP="00962FB6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АО «ЧЦЗ»</w:t>
            </w:r>
          </w:p>
          <w:p w:rsidR="00064399" w:rsidRPr="008C2D59" w:rsidRDefault="00962FB6" w:rsidP="00BE08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техническим перевооружением опасного производственного объекта замена засыпного аппарата доменной печи на </w:t>
            </w:r>
            <w:proofErr w:type="spell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бесконусное</w:t>
            </w:r>
            <w:proofErr w:type="spell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 загрузочное устройство (</w:t>
            </w:r>
            <w:proofErr w:type="spell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БеЗУ</w:t>
            </w:r>
            <w:proofErr w:type="spell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) с переходом на конвейерную загрузку доменной печи?       </w:t>
            </w:r>
          </w:p>
        </w:tc>
        <w:tc>
          <w:tcPr>
            <w:tcW w:w="9894" w:type="dxa"/>
          </w:tcPr>
          <w:p w:rsidR="00064399" w:rsidRPr="0059648E" w:rsidRDefault="0059648E" w:rsidP="00E31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 Федерального закона от 21.07.1997 № 116–ФЗ «О промышленной безопасности опасных производственных объектов», техническим перевооружением опасного производственного объекта является, приводящие к изменению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опасном производственном объекте технических устройств.</w:t>
            </w:r>
            <w:proofErr w:type="gramEnd"/>
          </w:p>
        </w:tc>
      </w:tr>
      <w:tr w:rsidR="00064399" w:rsidTr="0059648E">
        <w:tc>
          <w:tcPr>
            <w:tcW w:w="560" w:type="dxa"/>
          </w:tcPr>
          <w:p w:rsidR="00064399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962FB6" w:rsidRPr="00962FB6" w:rsidRDefault="00962FB6" w:rsidP="00962FB6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АО «ЧЦЗ»</w:t>
            </w:r>
          </w:p>
          <w:p w:rsidR="00064399" w:rsidRPr="008C2D59" w:rsidRDefault="00962FB6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чугунной летки доменной печи, перед началом выпуска продуктов плавки, происходит выброс CO2, нужно ли рабочую площадку </w:t>
            </w:r>
            <w:proofErr w:type="spell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электропушки</w:t>
            </w:r>
            <w:proofErr w:type="spell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 и машины вскрытия чугунной летки </w:t>
            </w:r>
            <w:proofErr w:type="gram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идентифицировать</w:t>
            </w:r>
            <w:proofErr w:type="gram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 как газоопасное место 2 группы и устанавливать стационарный газоанализатор?</w:t>
            </w:r>
          </w:p>
        </w:tc>
        <w:tc>
          <w:tcPr>
            <w:tcW w:w="9894" w:type="dxa"/>
          </w:tcPr>
          <w:p w:rsidR="0059648E" w:rsidRPr="0059648E" w:rsidRDefault="0059648E" w:rsidP="0059648E">
            <w:pPr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пунктов 55, 56 Правил безопасности процессов получения или применения металлов, утвержденных Федеральной службы по экологическому, технологическому и атомному надзору от 9 декабря 2020 г. N 512, установленные предельные значения состояния воздушной среды (допустимые концентрации) для включения сигнализации или блокировки должны соответствовать гигиеническим нормативам для воздуха рабочей зоны и учитывать аспекты вредного воздействия на здоровье человека, в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аспекты </w:t>
            </w:r>
            <w:proofErr w:type="spell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48E" w:rsidRPr="0059648E" w:rsidRDefault="0059648E" w:rsidP="0059648E">
            <w:pPr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, предусмотренных проектом, должна срабатывать блокировка оборудования.</w:t>
            </w:r>
          </w:p>
          <w:p w:rsidR="0059648E" w:rsidRPr="0059648E" w:rsidRDefault="0059648E" w:rsidP="005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Применение стационарных автоматических газоанализаторов технологического оборудования, должно быть обосновано результатами анализа опасностей технологических процессов.</w:t>
            </w:r>
          </w:p>
          <w:p w:rsidR="00064399" w:rsidRPr="0059648E" w:rsidRDefault="0059648E" w:rsidP="005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Работники, работающие в среде, где возможно появление опасных веществ в воздухе рабочей зоны, должны быть обеспечены индивидуальными газоанализаторами, если не установлены стационарные.</w:t>
            </w:r>
          </w:p>
        </w:tc>
      </w:tr>
      <w:tr w:rsidR="00064399" w:rsidTr="0059648E">
        <w:tc>
          <w:tcPr>
            <w:tcW w:w="560" w:type="dxa"/>
          </w:tcPr>
          <w:p w:rsidR="00064399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2" w:type="dxa"/>
          </w:tcPr>
          <w:p w:rsidR="00064399" w:rsidRDefault="00962FB6" w:rsidP="005F4DEF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АО «ЧЦЗ»</w:t>
            </w:r>
          </w:p>
          <w:p w:rsidR="00962FB6" w:rsidRPr="008C2D59" w:rsidRDefault="00962FB6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Нужно ли руководителю предприятия, эксплуатирующего ОПО, проходить аттестацию по общим требованиям </w:t>
            </w:r>
            <w:proofErr w:type="spell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промбезопасности</w:t>
            </w:r>
            <w:proofErr w:type="spell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62FB6">
              <w:rPr>
                <w:rFonts w:ascii="Times New Roman" w:hAnsi="Times New Roman" w:cs="Times New Roman"/>
                <w:sz w:val="24"/>
                <w:szCs w:val="24"/>
              </w:rPr>
              <w:t>), если он уже проходил такого рода обучение и аттестацию, когда был в должности руководителя производства?</w:t>
            </w:r>
          </w:p>
        </w:tc>
        <w:tc>
          <w:tcPr>
            <w:tcW w:w="9894" w:type="dxa"/>
          </w:tcPr>
          <w:p w:rsidR="0059648E" w:rsidRPr="0059648E" w:rsidRDefault="0059648E" w:rsidP="005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 ч.3 ст.14_1 Федерального закона от 21.07.1997 N 116-ФЗ "О промышленной безопасности опасных производственных объектов" первичная аттестация работников в области промышленной безопасности проводится не позднее одного месяца:</w:t>
            </w:r>
          </w:p>
          <w:p w:rsidR="0059648E" w:rsidRPr="0059648E" w:rsidRDefault="0059648E" w:rsidP="005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при назначении на соответствующую должность;</w:t>
            </w:r>
          </w:p>
          <w:p w:rsidR="0059648E" w:rsidRPr="0059648E" w:rsidRDefault="0059648E" w:rsidP="005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      </w:r>
          </w:p>
          <w:p w:rsidR="0059648E" w:rsidRPr="0059648E" w:rsidRDefault="0059648E" w:rsidP="005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      </w:r>
          </w:p>
          <w:p w:rsidR="0059648E" w:rsidRPr="0059648E" w:rsidRDefault="0059648E" w:rsidP="0059648E">
            <w:pPr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 ч.5 указанной статьи аттестация работников в области промышленной безопасности проводится в объеме требований промышленной безопасности, необходимых для исполнения ими трудовых обязанностей.</w:t>
            </w:r>
          </w:p>
          <w:p w:rsidR="0059648E" w:rsidRPr="0059648E" w:rsidRDefault="0059648E" w:rsidP="0059648E">
            <w:pPr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если лицу, назначенному генеральным директором, нет необходимости для исполнения своих трудовых обязанностей проходить аттестацию по иным областям аттестации, то имеющаяся аттестация (по А.1) продолжает действовать, переаттестация не требуется. </w:t>
            </w:r>
          </w:p>
          <w:p w:rsidR="00064399" w:rsidRPr="0059648E" w:rsidRDefault="0059648E" w:rsidP="0059648E">
            <w:pPr>
              <w:ind w:firstLine="5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Обращаю Ваше внимание, что руководители организаций (обособленных подразделений организаций), осуществляющих эксплуатацию опасных производственных объектов I, II или III класса опасности подлежат аттестации в территориальной аттестационной комиссии Ростехнадзора в соответствии с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постановлением Правительства Российской Федерации от 13.01.2023 № 13.</w:t>
            </w:r>
            <w:proofErr w:type="gramEnd"/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:rsidR="004520C8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ПАО «</w:t>
            </w:r>
            <w:proofErr w:type="spellStart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Надеждинский</w:t>
            </w:r>
            <w:proofErr w:type="spellEnd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металлургический завод»</w:t>
            </w:r>
          </w:p>
          <w:p w:rsidR="004520C8" w:rsidRPr="00962FB6" w:rsidRDefault="004520C8" w:rsidP="008A7C4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имеет право управлять ПС с пола (эл. тали, тельфера, кран-балки, консольные краны до 10т) с пульта или дистанционно?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9648E">
              <w:rPr>
                <w:rFonts w:eastAsiaTheme="minorHAnsi"/>
                <w:lang w:eastAsia="en-US"/>
              </w:rPr>
              <w:t>В соответствии с п. 3 «Федеральных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утвержденных Федеральной службы по экологическому, технологическому и атомному надзору от 26.11.2020 N 461 (далее - ФНП ПС), требования ФНП не распространяются на обеспечение безопасности указанных ПС.</w:t>
            </w:r>
            <w:proofErr w:type="gramEnd"/>
          </w:p>
          <w:p w:rsidR="004520C8" w:rsidRPr="0059648E" w:rsidRDefault="0096514A" w:rsidP="0096514A">
            <w:pPr>
              <w:pStyle w:val="a5"/>
              <w:spacing w:before="0" w:beforeAutospacing="0" w:after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59648E">
              <w:rPr>
                <w:rFonts w:eastAsiaTheme="minorHAnsi"/>
                <w:lang w:eastAsia="en-US"/>
              </w:rPr>
              <w:t>На данные ПС распространяются требования охраны труда.</w:t>
            </w: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</w:tcPr>
          <w:p w:rsidR="004520C8" w:rsidRPr="00E36874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ПАО «</w:t>
            </w:r>
            <w:proofErr w:type="spellStart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Надеждинский</w:t>
            </w:r>
            <w:proofErr w:type="spellEnd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металлургический завод»</w:t>
            </w:r>
          </w:p>
          <w:p w:rsidR="004520C8" w:rsidRPr="00E36874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имеет право управлять мостовыми кранами с пола (дистанционно) до 10т?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п. 3 ФНП ПС, требования ФНП ПС не распространяются на обеспечение безопасности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ПС.</w:t>
            </w:r>
          </w:p>
          <w:p w:rsidR="004520C8" w:rsidRPr="0059648E" w:rsidRDefault="0096514A" w:rsidP="0096514A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данные ПС распространяются требования охраны труда.</w:t>
            </w:r>
          </w:p>
        </w:tc>
      </w:tr>
      <w:tr w:rsidR="004520C8" w:rsidTr="0059648E">
        <w:tc>
          <w:tcPr>
            <w:tcW w:w="560" w:type="dxa"/>
          </w:tcPr>
          <w:p w:rsidR="004520C8" w:rsidRDefault="004520C8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4520C8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ПАО «</w:t>
            </w:r>
            <w:proofErr w:type="spellStart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Надеждинский</w:t>
            </w:r>
            <w:proofErr w:type="spellEnd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металлургический завод»</w:t>
            </w:r>
          </w:p>
          <w:p w:rsidR="004520C8" w:rsidRPr="00E36874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sz w:val="24"/>
                <w:szCs w:val="24"/>
              </w:rPr>
              <w:t>Кто может управлять мостовыми кранами с пола (дистанционно) свыше 10т?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spacing w:line="25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п. 22 ФНП ПС, организация (индивидуальный предприниматель), эксплуатирующая ОПО с ПС (без выполнения собственными службами работ по ремонту, реконструкции или модернизации) (далее - эксплуатирующая организация), должна соблюдать требования руководств (инструкций) по эксплуатации имеющихся в наличии ПС и выполнять следующие требования: устанавливать порядок допуска к самостоятельной работе на ПС персонала и контролировать его соблюдение.</w:t>
            </w:r>
            <w:proofErr w:type="gramEnd"/>
          </w:p>
          <w:p w:rsidR="0096514A" w:rsidRPr="0059648E" w:rsidRDefault="0096514A" w:rsidP="0096514A">
            <w:pPr>
              <w:spacing w:line="25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П. 25 ФНП ПС установлено, что работники ОПО, непосредственно занимающиеся эксплуатацией ПС, должны соответствовать следующим требованиям:</w:t>
            </w:r>
          </w:p>
          <w:p w:rsidR="0096514A" w:rsidRPr="0059648E" w:rsidRDefault="0096514A" w:rsidP="0096514A">
            <w:pPr>
              <w:spacing w:line="25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иметь выданное в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установленном эксплуатирующей организацией, удостоверение на право самостоятельной работы по соответствующим видам деятельности;</w:t>
            </w:r>
          </w:p>
          <w:p w:rsidR="004520C8" w:rsidRPr="0059648E" w:rsidRDefault="0096514A" w:rsidP="0096514A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п. 151 ФНП ПС, к управлению ПС с пола или со стационарного пульта могут быть допущены рабочие, обученные в соответствии с требованиями, изложенными в руководстве (инструкции) по эксплуатации такого ПС, а при управлении ПС с использованием системы дистанционного управления (по радио), кроме того, с учетом требований, изложенных в руководстве (инструкции) по эксплуатации системы дистанционного управления.</w:t>
            </w:r>
            <w:proofErr w:type="gramEnd"/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</w:tcPr>
          <w:p w:rsidR="004520C8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ПАО «</w:t>
            </w:r>
            <w:proofErr w:type="spellStart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Надеждинский</w:t>
            </w:r>
            <w:proofErr w:type="spellEnd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металлургический завод»</w:t>
            </w:r>
          </w:p>
          <w:p w:rsidR="004520C8" w:rsidRPr="00E36874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sz w:val="24"/>
                <w:szCs w:val="24"/>
              </w:rPr>
              <w:t>Может ли персонал эксплуатирующей организации обслуживающий ПС (стропальщик) из одного структурного подразделения выполнять погрузочно-разгрузочные работы в другом структурном подразделении?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spacing w:line="25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Разделом «Организация безопасной эксплуатации ПС в составе ОПО» ФНП ПС установлено, что для управления ПС и их обслуживания эксплуатирующая организация обязана назначить внутренним распорядительным актом машинистов подъемников, крановщиков (операторов), их помощников, стропальщиков, слесарей, электромонтеров, рабочих люльки и наладчиков (кроме наладчиков привлекаемых специализированных организаций).</w:t>
            </w:r>
          </w:p>
          <w:p w:rsidR="0096514A" w:rsidRPr="0059648E" w:rsidRDefault="0096514A" w:rsidP="0096514A">
            <w:pPr>
              <w:spacing w:line="25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промышленной безопасности эксплуатирующая организация обязана обеспечить персонал производственными инструкциями, определяющими их обязанности, порядок безопасного производства работ и ответственность. Производственные инструкции персоналу должны выдаваться под подпись перед допуском их к работе.</w:t>
            </w:r>
          </w:p>
          <w:p w:rsidR="0096514A" w:rsidRPr="0059648E" w:rsidRDefault="0096514A" w:rsidP="0096514A">
            <w:pPr>
              <w:spacing w:line="25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разделом «Система сигнализации при выполнении работ» ФНП ПС, эксплуатирующая организация должна установить порядок обмена сигналами между стропальщиками и крановщиками. Знаковая сигнализация и система обмена сигналами при радиопереговорной связи должны быть внесены в производственные инструкции для </w:t>
            </w: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крановщиков и стропальщиков.</w:t>
            </w:r>
          </w:p>
          <w:p w:rsidR="004520C8" w:rsidRPr="0059648E" w:rsidRDefault="0096514A" w:rsidP="0096514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eastAsia="Calibri" w:hAnsi="Times New Roman" w:cs="Times New Roman"/>
                <w:sz w:val="24"/>
                <w:szCs w:val="24"/>
              </w:rPr>
              <w:t>При смене участка работы крановщики и стропальщики должны быть проинструктированы (под подпись) о знаковой сигнализации, применяемой на новом участке работ.</w:t>
            </w: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</w:tcPr>
          <w:p w:rsidR="004520C8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ПАО «</w:t>
            </w:r>
            <w:proofErr w:type="spellStart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Надеждинский</w:t>
            </w:r>
            <w:proofErr w:type="spellEnd"/>
            <w:r w:rsidRPr="00E368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металлургический завод»</w:t>
            </w:r>
          </w:p>
          <w:p w:rsidR="004520C8" w:rsidRPr="00E36874" w:rsidRDefault="004520C8" w:rsidP="008A7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74">
              <w:rPr>
                <w:rFonts w:ascii="Times New Roman" w:hAnsi="Times New Roman" w:cs="Times New Roman"/>
                <w:sz w:val="24"/>
                <w:szCs w:val="24"/>
              </w:rPr>
              <w:t>Прошу разъяснить порядок взаимодействия эксплуатирующей организации с подрядной организацией при выполнении погрузочно-разгрузочных работ с применением ПС, также управление ПС  с пола  подрядчиками (на пример при ремонте ПС)?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Разделом «Эксплуатация ПС ОПО» ФНП ПС установлено, что выполнение строительно-монтажных работ, погрузочно-разгрузочных работ над действующими коммуникациями, проезжей частью улиц или в стесненных условиях, при которых требуется ограничение зоны перемещения ПС и грузов, на ОПО с применением ПС должно осуществляться в соответствии с ППР, разработанным эксплуатирующей или специализированной организацией в соответствии с требованиями пунктов 155-163 настоящих ФНП.</w:t>
            </w:r>
            <w:proofErr w:type="gramEnd"/>
          </w:p>
          <w:p w:rsidR="0096514A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ППР и ТК должны быть утверждены организацией, эксплуатирующей ПС.</w:t>
            </w:r>
          </w:p>
          <w:p w:rsidR="0096514A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Эксплуатация ПС с отступлениями от требований ППР и ТК не допускается. Внесение изменений в ППР и ТК осуществляется разработчиком ППР и ТК.</w:t>
            </w:r>
          </w:p>
          <w:p w:rsidR="0096514A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работы и складирование грузов с применением ПС на базах, складах, открытых площадках в случаях, кроме случаев, указанных в пункте 98 настоящих ФНП, должны выполняться по ТК, разработанным в соответствии с требованиями пунктов 155-163 настоящих ФНП.</w:t>
            </w:r>
          </w:p>
          <w:p w:rsidR="0096514A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Эксплуатирующая организация должна обеспечить выполнение следующих требований промышленной безопасности: </w:t>
            </w:r>
          </w:p>
          <w:p w:rsidR="0096514A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и выдать на места ведения работ ППР или ТК (в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указаниями пункта 98 и пунктов 155-163 настоящих ФНП) схемы складирования грузов, схемы погрузки и разгрузки транспортных средств, в том числе подвижного состава (последнее при использовании);</w:t>
            </w:r>
          </w:p>
          <w:p w:rsidR="0096514A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ознакомить (под подпись) с ППР и ТК инженерно-технических работников, ответственных за осуществление производственного контроля при эксплуатации ПС, ответственного за содержание ПС в работоспособном состоянии, ответственных за безопасное производство работ с применением ПС, крановщиков (операторов), машинистов строительных подъемников, машинистов подъемников-вышек, рабочих люлек и стропальщиков;</w:t>
            </w:r>
          </w:p>
          <w:p w:rsidR="004520C8" w:rsidRPr="0059648E" w:rsidRDefault="0096514A" w:rsidP="0096514A">
            <w:pPr>
              <w:pStyle w:val="a3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обеспечить стропальщиков испытанными и маркированными грузозахватными приспособлениями и тарой, соответствующими массе и характеру перемещаемых грузов</w:t>
            </w: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:rsidR="0096514A" w:rsidRPr="0096514A" w:rsidRDefault="0096514A" w:rsidP="0096514A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65, ранее действовавшего </w:t>
            </w:r>
            <w:proofErr w:type="spellStart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>ФНиП</w:t>
            </w:r>
            <w:proofErr w:type="spellEnd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599 звучал так: «Запрещается спуск людей в </w:t>
            </w:r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шахту и пребывание их в подземных </w:t>
            </w:r>
            <w:proofErr w:type="gramStart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выработках</w:t>
            </w:r>
            <w:proofErr w:type="gramEnd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производственной необходимости, наряда или разрешения руководства шахты»</w:t>
            </w:r>
          </w:p>
          <w:p w:rsidR="0096514A" w:rsidRPr="0096514A" w:rsidRDefault="0096514A" w:rsidP="0096514A">
            <w:pPr>
              <w:spacing w:line="256" w:lineRule="auto"/>
              <w:ind w:left="-284" w:firstLine="5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действующих </w:t>
            </w:r>
            <w:proofErr w:type="spellStart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>ФНиП</w:t>
            </w:r>
            <w:proofErr w:type="spellEnd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505 п. 67 звучит следующим образом «Запрещается спуск людей в шахту и пребывание их в горных </w:t>
            </w:r>
            <w:proofErr w:type="gramStart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выработках</w:t>
            </w:r>
            <w:proofErr w:type="gramEnd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наряда или разрешения руководства объекта». Формулировка «БЕЗ ПРОИЗВОДСТВЕННОЙ НЕОБХОДИМОСТИ» отсутствует.</w:t>
            </w:r>
          </w:p>
          <w:p w:rsidR="0096514A" w:rsidRPr="0096514A" w:rsidRDefault="0096514A" w:rsidP="0096514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Вопрос</w:t>
            </w:r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каким образом и на </w:t>
            </w:r>
            <w:proofErr w:type="gramStart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96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документа осуществлять допуск руководителей и специалистов, не являющихся персоналом подземного рудника, но посещающих подземные горные выработки с производственной необходимостью (маркшейдера, геологи и пр.)?</w:t>
            </w:r>
          </w:p>
          <w:p w:rsidR="004520C8" w:rsidRPr="008C2D59" w:rsidRDefault="004520C8" w:rsidP="005F4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:rsidR="0096514A" w:rsidRPr="0059648E" w:rsidRDefault="0096514A" w:rsidP="00965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 w:rsidRPr="00596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596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статьей 9 ФЗ «О промышленной безопасности опасных производственных объектов», </w:t>
            </w:r>
            <w:bookmarkStart w:id="0" w:name="P00AE"/>
            <w:bookmarkEnd w:id="0"/>
            <w:r w:rsidRPr="00596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9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рганизация, эксплуатирующая опасный производственный объект, обязана:</w:t>
            </w:r>
          </w:p>
          <w:p w:rsidR="0096514A" w:rsidRPr="0059648E" w:rsidRDefault="0096514A" w:rsidP="00965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положения настоящего Федерального закона, других федеральных законов, </w:t>
            </w:r>
            <w:r w:rsidRPr="0059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безопасности. </w:t>
            </w:r>
          </w:p>
          <w:p w:rsidR="0096514A" w:rsidRPr="0059648E" w:rsidRDefault="0096514A" w:rsidP="00965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руководителей и специалистов  по соблюдению федеральных норм и правил в области промышленной безопасности  определены должностными регламентами, утвержденными руководителем организации</w:t>
            </w:r>
          </w:p>
          <w:p w:rsidR="004520C8" w:rsidRPr="0059648E" w:rsidRDefault="004520C8" w:rsidP="00A24B7B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2" w:type="dxa"/>
          </w:tcPr>
          <w:p w:rsidR="0096514A" w:rsidRDefault="0096514A" w:rsidP="00FF0C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14A">
              <w:rPr>
                <w:rFonts w:ascii="Times New Roman" w:hAnsi="Times New Roman"/>
                <w:sz w:val="24"/>
                <w:szCs w:val="24"/>
              </w:rPr>
              <w:t xml:space="preserve">Как соблюсти административную процедуру по регистрации ОПО, если на некоторые технические устройства и сооружения отсутствуют документы, подтверждающие факт </w:t>
            </w:r>
            <w:proofErr w:type="spellStart"/>
            <w:r w:rsidRPr="0096514A">
              <w:rPr>
                <w:rFonts w:ascii="Times New Roman" w:hAnsi="Times New Roman"/>
                <w:sz w:val="24"/>
                <w:szCs w:val="24"/>
              </w:rPr>
              <w:t>правообладания</w:t>
            </w:r>
            <w:proofErr w:type="spell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(договоры поставки, акты приема-передачи ТУ)? </w:t>
            </w:r>
          </w:p>
          <w:p w:rsidR="004520C8" w:rsidRPr="008C2D59" w:rsidRDefault="0096514A" w:rsidP="00FF0C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Возможно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ли подтвердить законное </w:t>
            </w:r>
            <w:proofErr w:type="spellStart"/>
            <w:r w:rsidRPr="0096514A">
              <w:rPr>
                <w:rFonts w:ascii="Times New Roman" w:hAnsi="Times New Roman"/>
                <w:sz w:val="24"/>
                <w:szCs w:val="24"/>
              </w:rPr>
              <w:t>правообладание</w:t>
            </w:r>
            <w:proofErr w:type="spell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счетами-фактурами, письмами от застройщика о подтверждении данных по закупке использованных ТМЦ при выполнении строительства ОПО? Если нет, </w:t>
            </w: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какие документы будут являться </w:t>
            </w:r>
            <w:r w:rsidRPr="009651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законного </w:t>
            </w:r>
            <w:proofErr w:type="spellStart"/>
            <w:r w:rsidRPr="0096514A">
              <w:rPr>
                <w:rFonts w:ascii="Times New Roman" w:hAnsi="Times New Roman"/>
                <w:sz w:val="24"/>
                <w:szCs w:val="24"/>
              </w:rPr>
              <w:t>правообладания</w:t>
            </w:r>
            <w:proofErr w:type="spell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техническими устройствами и сооружениями?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к регистрации  объектов в государственном реестре опасных производственных объектов и ведению государственного реестра опасных производственных объектов от 30.11.2020 № 471, для регистрации объекта в государственном реестре эксплуатирующая организация не позднее 10 рабочих дней со дня начала эксплуатации опасного производственного объекта представляет в регистрирующий орган на бумажном носителе или в форме электронного документа, подписанного усиленной квалифицированной электронной подписью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, следующие документы, необходимые для формирования и ведения государственного реестра 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 п. 14 Требований. </w:t>
            </w:r>
          </w:p>
          <w:p w:rsidR="004520C8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копии документов, подтверждающих наличие у эксплуатирующей организации на праве собственности или ином законном основании опасного производственного объекта (земельных участков, зданий, строений и сооружений, на (в) которых размещается опасный производственный объект (для объектов недвижимости), права на которые не зарегистрированы в Едином государственном реестре недвижимости, </w:t>
            </w: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устройств, обладающих признаками опасности, указанными в приложении 1 к Федеральному закону "О промышленной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производственных объектов"). Иным основанием является подтверждение правом владения техническим устройством,  которое стоит на балансе предприятия</w:t>
            </w: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2" w:type="dxa"/>
          </w:tcPr>
          <w:p w:rsidR="004520C8" w:rsidRPr="008C2D59" w:rsidRDefault="0096514A" w:rsidP="00FF0C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14A">
              <w:rPr>
                <w:rFonts w:ascii="Times New Roman" w:hAnsi="Times New Roman"/>
                <w:sz w:val="24"/>
                <w:szCs w:val="24"/>
              </w:rPr>
              <w:t xml:space="preserve">Пояснить по изменениям в </w:t>
            </w: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лицензиях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>, если произошла смена адреса и как правильно указывать адрес в сведениях, характеризующих ОПО – должен ли он быть такой же, как в лицензии.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к регистрации  объектов в государственном реестре опасных производственных объектов и ведению государственного реестра опасных производственных объектов от 30.11.2020 № 471, для регистрации объекта в государственном реестре эксплуатирующая организация не позднее 10 рабочих дней со дня начала эксплуатации опасного производственного объекта представляет в регистрирующий орган на бумажном носителе или в форме электронного документа, подписанного усиленной квалифицированной электронной подписью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, следующие документы, необходимые для формирования и ведения государственного реестра 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 п. 14 Требований. 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В том числе копии документов, подтверждающих наличие у эксплуатирующей организации на праве собственности или ином законном основании опасного производственного объекта (земельных участков, зданий, строений и сооружений, на (в) которых размещается опасный производственный объект (для объектов недвижимости), права на которые не зарегистрированы в Едином государственном реестре недвижимости, технических устройств, обладающих признаками опасности, указанными в приложении 1 к Федеральному закону "О промышленной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производственных объектов").</w:t>
            </w:r>
          </w:p>
          <w:p w:rsidR="004520C8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оснований право пользования участком является лицензия на право пользования недрами,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адрес места расположения участка недр должен быть прописан в сведениях характеризующих ОПО.</w:t>
            </w: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2" w:type="dxa"/>
          </w:tcPr>
          <w:p w:rsidR="004520C8" w:rsidRPr="008C2D59" w:rsidRDefault="0096514A" w:rsidP="00FF0C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Требования к техническим устройствам, применяемых на опасных производственных объектах.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Федеральный Закон Российской Федерации «</w:t>
            </w: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опасных производственных объектах» от 21.07.1997 № 116-ФЗ.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техническим устройствам, применяемым на опасном производственном объекте,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Если техническим регламентом не установлена иная форма оценки соответствия технического устройства, применяемого на опасном производственном объекте, обязательным требованиям к такому техническому устройству, оно подлежит экспертизе промышленной безопасности: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до начала применения на опасном производственном объекте;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истечении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срока службы или при превышении количества циклов нагрузки такого технического устройства, установленных его производителем;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после проведения работ, связанных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</w:t>
            </w:r>
          </w:p>
          <w:p w:rsidR="004520C8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Федеральными нормами и правилами в области промышленной безопасности могут быть предусмотрены возможность,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процесса, отклонения от которых могут привести к аварии на опасном производственном объекте.</w:t>
            </w: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2" w:type="dxa"/>
          </w:tcPr>
          <w:p w:rsidR="004520C8" w:rsidRPr="008C2D59" w:rsidRDefault="0096514A" w:rsidP="00FF0C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14A">
              <w:rPr>
                <w:rFonts w:ascii="Times New Roman" w:hAnsi="Times New Roman"/>
                <w:sz w:val="24"/>
                <w:szCs w:val="24"/>
              </w:rPr>
              <w:t xml:space="preserve">Перечень документов, которые являются необходимыми и обязательными для предоставления государственной услуги подлежащих заявителем по выдаче разрешения на ведение работ </w:t>
            </w: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взрывчатыми материалами промышленного назначения. Приказ Ростехнадзора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</w:t>
            </w: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взрывчатыми материалами промышленного назначения» от 16.04.2012 № 254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Разрешение выдается на основании заявления (приложение № 2 к Регламенту) и прилагаемых к нему документов, предусмотренных пунктом 14.2 Регламента, которые могут быть направлены по почте, в электронной форме или доставлены нарочным непосредственно в помещение территориального органа Ростехнадзора, предназначенное для приема обращений и заявлений.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указываются: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сведения об организации (полное и сокращенное наименование организации с указанием организационно-правовой формы, юридический и почтовый адрес, ИНН, телефон, факс, адрес электронной почты, Ф.И.О. руководителя);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сведения о местах работ, их характер (постоянный или разовый);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сведения о руководителе взрывных работ (Ф.И.О., должность);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применяемые взрывчатые материалы;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сведения о месте хранения взрывчатых материалов (название склада, его расположение, принадлежность - собственный или арендованный, вместимость).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указана просьба о направлении заявителю в электронной форме информации по вопросам получения Разрешения.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при взрывных работах на земной поверхности: план местности с нанесением мест производства взрывных работ, границ опасной зоны и находящихся в ее пределах жилых и производственных зданий, сооружений, железных и шоссейных дорог, трубопроводов, линий электропередачи;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- при взрывных работах в подземных условиях: сведения об опасности шахты (рудника, объекта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геолого-разведочных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работ) по газу и пыли;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взрывных работах в населенных пунктах и при обработке металлов энергией взрыва: проект на взрывные работы;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при сейсморазведочных работах с применением взрывчатых материалов: схемы профилей работ, типовая схема охраны опасной зоны.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При исполнении государственной услуги по выдаче Разрешений запрещается требовать от заявителя: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указанной государственной услуги;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взрывных работ на водных объектах и в прибрежной </w:t>
            </w:r>
            <w:proofErr w:type="spell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зоне осуществляется в соответствии со статьей 61 «Водного кодекса Российской Федерации», утвержденного Федеральным законом от 03.06.2006 г. N 74-ФЗ.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продления действия Разрешения организация представляет в территориальный орган Ростехнадзора заявление с комплектом документов 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 пунктом 14.2 Регламента.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Для переоформления Разрешения 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реорганизации юридического лица организация представляет в территориальный орган Ростехнадзора заявление, в котором указываются новые сведения об организации.</w:t>
            </w:r>
          </w:p>
          <w:p w:rsidR="004520C8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Для переоформления Разрешения в </w:t>
            </w:r>
            <w:proofErr w:type="gramStart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смены руководителя взрывных работ организация представляет в территориальный орган Ростехнадзора заявление, в котором указываются новые сведения о руководителе взрывных работ.</w:t>
            </w:r>
          </w:p>
        </w:tc>
      </w:tr>
      <w:tr w:rsidR="004520C8" w:rsidTr="0059648E">
        <w:tc>
          <w:tcPr>
            <w:tcW w:w="560" w:type="dxa"/>
          </w:tcPr>
          <w:p w:rsidR="004520C8" w:rsidRPr="00A05F98" w:rsidRDefault="0059648E" w:rsidP="007E7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2" w:type="dxa"/>
          </w:tcPr>
          <w:p w:rsidR="004520C8" w:rsidRPr="008C2D59" w:rsidRDefault="0096514A" w:rsidP="00FF0C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14A">
              <w:rPr>
                <w:rFonts w:ascii="Times New Roman" w:hAnsi="Times New Roman"/>
                <w:sz w:val="24"/>
                <w:szCs w:val="24"/>
              </w:rPr>
              <w:t xml:space="preserve">Требование к образованию должностных лиц в </w:t>
            </w:r>
            <w:proofErr w:type="gramStart"/>
            <w:r w:rsidRPr="0096514A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96514A">
              <w:rPr>
                <w:rFonts w:ascii="Times New Roman" w:hAnsi="Times New Roman"/>
                <w:sz w:val="24"/>
                <w:szCs w:val="24"/>
              </w:rPr>
              <w:t xml:space="preserve"> осуществляющих ведение горных работ на объектах пользования недр. Приказ Ростехнадзора «Об утверждении Федеральных норм и правил в области промышленной безопасности «Правила безопасности при ведении горных работ и переработке </w:t>
            </w:r>
            <w:r w:rsidRPr="0096514A">
              <w:rPr>
                <w:rFonts w:ascii="Times New Roman" w:hAnsi="Times New Roman"/>
                <w:sz w:val="24"/>
                <w:szCs w:val="24"/>
              </w:rPr>
              <w:lastRenderedPageBreak/>
              <w:t>твердых полезных ископаемых» от 08.12.2020 № 505.</w:t>
            </w:r>
          </w:p>
        </w:tc>
        <w:tc>
          <w:tcPr>
            <w:tcW w:w="9894" w:type="dxa"/>
          </w:tcPr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п. 29. Руководители и специалисты объектов, на которых осуществляется деятельность по ведению горных работ, переработке полезных ископаемых, строительству подземных сооружений должны иметь соответствующее образование.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п. 30. Техническое руководство - непосредственное управление технологическими процессами на производственных объектах должностными лицами, являющимися техническими руководителями, осуществляемое в рамках полномочий, установленных должностными инструкциями.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К техническому руководству работами на объектах ведения горных работ и переработки </w:t>
            </w:r>
            <w:r w:rsidRPr="00596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 должны допускаться лица, имеющие высшее или среднее специальное соответствующее образование.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Горнотехническое образование на шахтах, рудниках, приисках, карьерах, драгах, земснарядах, разрезах и объектах разработки недр, не связанных с добычей, необходимо иметь:</w:t>
            </w:r>
          </w:p>
          <w:p w:rsidR="0096514A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руководителям, техническим руководителям организаций (объектов), руководителям участков (цехов), специалистам инженерных служб и их заместителям;</w:t>
            </w:r>
          </w:p>
          <w:p w:rsidR="004520C8" w:rsidRPr="0059648E" w:rsidRDefault="0096514A" w:rsidP="0096514A">
            <w:pPr>
              <w:suppressAutoHyphens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E">
              <w:rPr>
                <w:rFonts w:ascii="Times New Roman" w:hAnsi="Times New Roman" w:cs="Times New Roman"/>
                <w:sz w:val="24"/>
                <w:szCs w:val="24"/>
              </w:rPr>
              <w:t>начальникам смен (участков), техническим руководителям и диспетчерам смены.</w:t>
            </w:r>
          </w:p>
        </w:tc>
      </w:tr>
    </w:tbl>
    <w:p w:rsidR="007E7877" w:rsidRPr="007E7877" w:rsidRDefault="007E7877" w:rsidP="007E7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7877" w:rsidRPr="007E7877" w:rsidSect="00B6723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2284B"/>
    <w:multiLevelType w:val="hybridMultilevel"/>
    <w:tmpl w:val="2F94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ED"/>
    <w:rsid w:val="00015B84"/>
    <w:rsid w:val="00036A1E"/>
    <w:rsid w:val="000400DB"/>
    <w:rsid w:val="0005025B"/>
    <w:rsid w:val="00052216"/>
    <w:rsid w:val="00064399"/>
    <w:rsid w:val="00065C83"/>
    <w:rsid w:val="0007472E"/>
    <w:rsid w:val="000F33D5"/>
    <w:rsid w:val="001128D8"/>
    <w:rsid w:val="00131336"/>
    <w:rsid w:val="00152A44"/>
    <w:rsid w:val="00162A7F"/>
    <w:rsid w:val="0017183A"/>
    <w:rsid w:val="00190D07"/>
    <w:rsid w:val="001E0982"/>
    <w:rsid w:val="001F68F2"/>
    <w:rsid w:val="00214121"/>
    <w:rsid w:val="00217732"/>
    <w:rsid w:val="00237703"/>
    <w:rsid w:val="00251066"/>
    <w:rsid w:val="00275788"/>
    <w:rsid w:val="00277704"/>
    <w:rsid w:val="002B2FAA"/>
    <w:rsid w:val="002D0A7F"/>
    <w:rsid w:val="002E0E2C"/>
    <w:rsid w:val="002E548D"/>
    <w:rsid w:val="00331A05"/>
    <w:rsid w:val="00335D9A"/>
    <w:rsid w:val="00354DE1"/>
    <w:rsid w:val="00396995"/>
    <w:rsid w:val="003D242A"/>
    <w:rsid w:val="003E274B"/>
    <w:rsid w:val="003E5A5F"/>
    <w:rsid w:val="00445BF7"/>
    <w:rsid w:val="004504C8"/>
    <w:rsid w:val="004520C8"/>
    <w:rsid w:val="004755B0"/>
    <w:rsid w:val="00486000"/>
    <w:rsid w:val="00497957"/>
    <w:rsid w:val="004C7299"/>
    <w:rsid w:val="004E0641"/>
    <w:rsid w:val="005057B1"/>
    <w:rsid w:val="00576F46"/>
    <w:rsid w:val="0059648E"/>
    <w:rsid w:val="005D163D"/>
    <w:rsid w:val="005F4DEF"/>
    <w:rsid w:val="006006CE"/>
    <w:rsid w:val="00616049"/>
    <w:rsid w:val="0063717C"/>
    <w:rsid w:val="00661399"/>
    <w:rsid w:val="0068197B"/>
    <w:rsid w:val="00682086"/>
    <w:rsid w:val="006D7E03"/>
    <w:rsid w:val="00767125"/>
    <w:rsid w:val="007704E1"/>
    <w:rsid w:val="00782AAA"/>
    <w:rsid w:val="007A42F2"/>
    <w:rsid w:val="007B0571"/>
    <w:rsid w:val="007E7877"/>
    <w:rsid w:val="008065F5"/>
    <w:rsid w:val="00841BA0"/>
    <w:rsid w:val="008A3447"/>
    <w:rsid w:val="008B3633"/>
    <w:rsid w:val="008C2D59"/>
    <w:rsid w:val="008F75C2"/>
    <w:rsid w:val="0090381A"/>
    <w:rsid w:val="0091392A"/>
    <w:rsid w:val="00922FB1"/>
    <w:rsid w:val="009407B3"/>
    <w:rsid w:val="0095211E"/>
    <w:rsid w:val="00962FB6"/>
    <w:rsid w:val="0096514A"/>
    <w:rsid w:val="009A7F99"/>
    <w:rsid w:val="009B0191"/>
    <w:rsid w:val="009C405C"/>
    <w:rsid w:val="00A05F98"/>
    <w:rsid w:val="00A24B7B"/>
    <w:rsid w:val="00AA520A"/>
    <w:rsid w:val="00AA62E6"/>
    <w:rsid w:val="00AB61A2"/>
    <w:rsid w:val="00AD4EEE"/>
    <w:rsid w:val="00B13511"/>
    <w:rsid w:val="00B45BA4"/>
    <w:rsid w:val="00B67238"/>
    <w:rsid w:val="00BE7880"/>
    <w:rsid w:val="00CA0502"/>
    <w:rsid w:val="00CA6704"/>
    <w:rsid w:val="00D0197A"/>
    <w:rsid w:val="00D17DFB"/>
    <w:rsid w:val="00D37E33"/>
    <w:rsid w:val="00D533E9"/>
    <w:rsid w:val="00DA2376"/>
    <w:rsid w:val="00DF7F40"/>
    <w:rsid w:val="00E050ED"/>
    <w:rsid w:val="00E31AB0"/>
    <w:rsid w:val="00E4022E"/>
    <w:rsid w:val="00E552B0"/>
    <w:rsid w:val="00EB06E4"/>
    <w:rsid w:val="00EB1CC6"/>
    <w:rsid w:val="00EB7B07"/>
    <w:rsid w:val="00EF5162"/>
    <w:rsid w:val="00F013B4"/>
    <w:rsid w:val="00F03E76"/>
    <w:rsid w:val="00F331A3"/>
    <w:rsid w:val="00F346BD"/>
    <w:rsid w:val="00F5553A"/>
    <w:rsid w:val="00F56B4C"/>
    <w:rsid w:val="00F81870"/>
    <w:rsid w:val="00F86463"/>
    <w:rsid w:val="00FC4B8C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77"/>
    <w:pPr>
      <w:spacing w:after="0" w:line="240" w:lineRule="auto"/>
    </w:pPr>
  </w:style>
  <w:style w:type="table" w:styleId="a4">
    <w:name w:val="Table Grid"/>
    <w:basedOn w:val="a1"/>
    <w:uiPriority w:val="39"/>
    <w:rsid w:val="007E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54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877"/>
    <w:pPr>
      <w:spacing w:after="0" w:line="240" w:lineRule="auto"/>
    </w:pPr>
  </w:style>
  <w:style w:type="table" w:styleId="a4">
    <w:name w:val="Table Grid"/>
    <w:basedOn w:val="a1"/>
    <w:uiPriority w:val="39"/>
    <w:rsid w:val="007E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54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CFD6-3A4E-4805-8FC3-B3F8F937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Тремаскин Валерий Валерьевич</dc:creator>
  <cp:lastModifiedBy>Дегтярёва Ирина Рашитовна</cp:lastModifiedBy>
  <cp:revision>2</cp:revision>
  <dcterms:created xsi:type="dcterms:W3CDTF">2025-06-25T09:54:00Z</dcterms:created>
  <dcterms:modified xsi:type="dcterms:W3CDTF">2025-06-25T09:54:00Z</dcterms:modified>
</cp:coreProperties>
</file>