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9214"/>
      </w:tblGrid>
      <w:tr w:rsidR="000C13BB" w:rsidRPr="00665690" w:rsidTr="00665690">
        <w:trPr>
          <w:trHeight w:val="284"/>
        </w:trPr>
        <w:tc>
          <w:tcPr>
            <w:tcW w:w="15593" w:type="dxa"/>
            <w:gridSpan w:val="3"/>
          </w:tcPr>
          <w:p w:rsidR="000C13BB" w:rsidRPr="00665690" w:rsidRDefault="000C13BB" w:rsidP="001135FA">
            <w:pPr>
              <w:spacing w:after="0" w:line="240" w:lineRule="auto"/>
              <w:jc w:val="center"/>
              <w:rPr>
                <w:rFonts w:ascii="Times New Roman" w:eastAsia="Times New Roman" w:hAnsi="Times New Roman" w:cs="Times New Roman"/>
                <w:sz w:val="24"/>
                <w:szCs w:val="24"/>
                <w:lang w:eastAsia="ru-RU"/>
              </w:rPr>
            </w:pPr>
            <w:r w:rsidRPr="00665690">
              <w:rPr>
                <w:rFonts w:ascii="Times New Roman" w:eastAsia="Times New Roman" w:hAnsi="Times New Roman" w:cs="Times New Roman"/>
                <w:sz w:val="24"/>
                <w:szCs w:val="24"/>
                <w:lang w:eastAsia="ru-RU"/>
              </w:rPr>
              <w:t xml:space="preserve">ОБОБЩЕННЫЕ ОТВЕТЫ НА ВОПРОСЫ, ПОСТУПИВШИЕ В ХОДЕ ПОДГОТОВКИ К ПУБЛИЧНОМУ ОБСУЖДЕНИЮ </w:t>
            </w:r>
          </w:p>
          <w:p w:rsidR="000C13BB" w:rsidRPr="00665690" w:rsidRDefault="000C13BB" w:rsidP="001135FA">
            <w:pPr>
              <w:spacing w:after="0" w:line="240" w:lineRule="auto"/>
              <w:jc w:val="center"/>
              <w:rPr>
                <w:rFonts w:ascii="Times New Roman" w:eastAsia="Times New Roman" w:hAnsi="Times New Roman" w:cs="Times New Roman"/>
                <w:sz w:val="24"/>
                <w:szCs w:val="24"/>
                <w:lang w:eastAsia="ru-RU"/>
              </w:rPr>
            </w:pPr>
            <w:r w:rsidRPr="00665690">
              <w:rPr>
                <w:rFonts w:ascii="Times New Roman" w:eastAsia="Times New Roman" w:hAnsi="Times New Roman" w:cs="Times New Roman"/>
                <w:sz w:val="24"/>
                <w:szCs w:val="24"/>
                <w:lang w:eastAsia="ru-RU"/>
              </w:rPr>
              <w:t>ПРАВОПРИМЕНИТЕЛЬНОЙ ПРАКТИКИ УРАЛЬСКОГО УПРАВЛЕНИЯ РОСТЕХНАДЗОРА</w:t>
            </w:r>
          </w:p>
          <w:p w:rsidR="000C13BB" w:rsidRPr="00665690" w:rsidRDefault="000C13BB" w:rsidP="001135FA">
            <w:pPr>
              <w:spacing w:after="0" w:line="240" w:lineRule="auto"/>
              <w:jc w:val="center"/>
              <w:rPr>
                <w:rFonts w:ascii="Times New Roman" w:eastAsia="Times New Roman" w:hAnsi="Times New Roman" w:cs="Times New Roman"/>
                <w:sz w:val="24"/>
                <w:szCs w:val="24"/>
                <w:lang w:eastAsia="ru-RU"/>
              </w:rPr>
            </w:pPr>
            <w:r w:rsidRPr="00665690">
              <w:rPr>
                <w:rFonts w:ascii="Times New Roman" w:eastAsia="Times New Roman" w:hAnsi="Times New Roman" w:cs="Times New Roman"/>
                <w:sz w:val="24"/>
                <w:szCs w:val="24"/>
                <w:lang w:eastAsia="ru-RU"/>
              </w:rPr>
              <w:t xml:space="preserve">ЗА </w:t>
            </w:r>
            <w:r w:rsidRPr="00665690">
              <w:rPr>
                <w:rFonts w:ascii="Times New Roman" w:eastAsia="Times New Roman" w:hAnsi="Times New Roman" w:cs="Times New Roman"/>
                <w:sz w:val="24"/>
                <w:szCs w:val="24"/>
                <w:lang w:val="en-US" w:eastAsia="ru-RU"/>
              </w:rPr>
              <w:t>III</w:t>
            </w:r>
            <w:r w:rsidRPr="00665690">
              <w:rPr>
                <w:rFonts w:ascii="Times New Roman" w:eastAsia="Times New Roman" w:hAnsi="Times New Roman" w:cs="Times New Roman"/>
                <w:sz w:val="24"/>
                <w:szCs w:val="24"/>
                <w:lang w:eastAsia="ru-RU"/>
              </w:rPr>
              <w:t xml:space="preserve"> КВАРТАЛ 2019 ГОДА</w:t>
            </w:r>
          </w:p>
          <w:p w:rsidR="000C13BB" w:rsidRPr="00665690" w:rsidRDefault="000C13BB" w:rsidP="00343ADF">
            <w:pPr>
              <w:spacing w:after="0" w:line="240" w:lineRule="auto"/>
              <w:jc w:val="center"/>
              <w:rPr>
                <w:sz w:val="28"/>
                <w:szCs w:val="28"/>
              </w:rPr>
            </w:pPr>
          </w:p>
        </w:tc>
      </w:tr>
      <w:tr w:rsidR="005B36B1" w:rsidRPr="00665690" w:rsidTr="00665690">
        <w:trPr>
          <w:trHeight w:val="284"/>
        </w:trPr>
        <w:tc>
          <w:tcPr>
            <w:tcW w:w="851" w:type="dxa"/>
          </w:tcPr>
          <w:p w:rsidR="005B36B1" w:rsidRPr="00665690" w:rsidRDefault="005B36B1" w:rsidP="00A85CDD">
            <w:pPr>
              <w:spacing w:after="0" w:line="240" w:lineRule="auto"/>
              <w:ind w:left="33" w:right="33"/>
              <w:jc w:val="center"/>
              <w:rPr>
                <w:rFonts w:ascii="Times New Roman" w:hAnsi="Times New Roman" w:cs="Times New Roman"/>
                <w:sz w:val="24"/>
                <w:szCs w:val="24"/>
              </w:rPr>
            </w:pPr>
            <w:r w:rsidRPr="00665690">
              <w:rPr>
                <w:rFonts w:ascii="Times New Roman" w:hAnsi="Times New Roman" w:cs="Times New Roman"/>
                <w:sz w:val="24"/>
                <w:szCs w:val="24"/>
              </w:rPr>
              <w:t>№</w:t>
            </w:r>
          </w:p>
        </w:tc>
        <w:tc>
          <w:tcPr>
            <w:tcW w:w="5528" w:type="dxa"/>
          </w:tcPr>
          <w:p w:rsidR="005B36B1" w:rsidRPr="00665690" w:rsidRDefault="005B36B1" w:rsidP="00305A7C">
            <w:pPr>
              <w:spacing w:after="0" w:line="240" w:lineRule="auto"/>
              <w:jc w:val="center"/>
              <w:rPr>
                <w:rFonts w:ascii="Times New Roman" w:hAnsi="Times New Roman" w:cs="Times New Roman"/>
                <w:sz w:val="24"/>
                <w:szCs w:val="24"/>
              </w:rPr>
            </w:pPr>
            <w:r w:rsidRPr="00665690">
              <w:rPr>
                <w:rFonts w:ascii="Times New Roman" w:hAnsi="Times New Roman" w:cs="Times New Roman"/>
                <w:sz w:val="24"/>
                <w:szCs w:val="24"/>
              </w:rPr>
              <w:t>вопрос</w:t>
            </w:r>
          </w:p>
        </w:tc>
        <w:tc>
          <w:tcPr>
            <w:tcW w:w="9214" w:type="dxa"/>
          </w:tcPr>
          <w:p w:rsidR="005B36B1" w:rsidRPr="00665690" w:rsidRDefault="005B36B1" w:rsidP="00305A7C">
            <w:pPr>
              <w:spacing w:after="0" w:line="240" w:lineRule="auto"/>
              <w:jc w:val="center"/>
              <w:rPr>
                <w:rFonts w:ascii="Times New Roman" w:hAnsi="Times New Roman" w:cs="Times New Roman"/>
                <w:sz w:val="24"/>
                <w:szCs w:val="24"/>
              </w:rPr>
            </w:pPr>
            <w:r w:rsidRPr="00665690">
              <w:rPr>
                <w:rFonts w:ascii="Times New Roman" w:hAnsi="Times New Roman" w:cs="Times New Roman"/>
                <w:sz w:val="24"/>
                <w:szCs w:val="24"/>
              </w:rPr>
              <w:t>ответ</w:t>
            </w:r>
          </w:p>
        </w:tc>
      </w:tr>
      <w:tr w:rsidR="005B36B1" w:rsidRPr="00665690" w:rsidTr="00665690">
        <w:trPr>
          <w:trHeight w:val="284"/>
        </w:trPr>
        <w:tc>
          <w:tcPr>
            <w:tcW w:w="851" w:type="dxa"/>
          </w:tcPr>
          <w:p w:rsidR="005B36B1" w:rsidRPr="00665690" w:rsidRDefault="005B36B1" w:rsidP="00A85CDD">
            <w:pPr>
              <w:pStyle w:val="a3"/>
              <w:numPr>
                <w:ilvl w:val="0"/>
                <w:numId w:val="14"/>
              </w:numPr>
              <w:spacing w:after="0" w:line="240" w:lineRule="auto"/>
              <w:ind w:left="33" w:right="33" w:firstLine="0"/>
              <w:jc w:val="center"/>
              <w:rPr>
                <w:rFonts w:ascii="Times New Roman" w:hAnsi="Times New Roman" w:cs="Times New Roman"/>
                <w:sz w:val="24"/>
                <w:szCs w:val="24"/>
              </w:rPr>
            </w:pPr>
          </w:p>
        </w:tc>
        <w:tc>
          <w:tcPr>
            <w:tcW w:w="5528" w:type="dxa"/>
          </w:tcPr>
          <w:p w:rsidR="005B36B1" w:rsidRPr="00665690" w:rsidRDefault="005B36B1" w:rsidP="005B36B1">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Кем осуществляется проверка теплоснабжающих организаций, теплосетевых организаций, потребителей тепловой энергии к отопительному периоду: органами местного самоуправления поселений или органами муниципального образования района?</w:t>
            </w:r>
          </w:p>
        </w:tc>
        <w:tc>
          <w:tcPr>
            <w:tcW w:w="9214" w:type="dxa"/>
          </w:tcPr>
          <w:p w:rsidR="005E3AAD" w:rsidRPr="00665690" w:rsidRDefault="005E3AAD" w:rsidP="005E3AAD">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Согласно п.2. ст. 20 ФЗ-190 «О теплоснабжении» проверка готовности теплоснабжающих организаций, </w:t>
            </w:r>
            <w:proofErr w:type="spellStart"/>
            <w:r w:rsidRPr="00665690">
              <w:rPr>
                <w:rFonts w:ascii="Times New Roman" w:hAnsi="Times New Roman" w:cs="Times New Roman"/>
                <w:sz w:val="24"/>
                <w:szCs w:val="24"/>
              </w:rPr>
              <w:t>теплосетевых</w:t>
            </w:r>
            <w:proofErr w:type="spellEnd"/>
            <w:r w:rsidRPr="00665690">
              <w:rPr>
                <w:rFonts w:ascii="Times New Roman" w:hAnsi="Times New Roman" w:cs="Times New Roman"/>
                <w:sz w:val="24"/>
                <w:szCs w:val="24"/>
              </w:rPr>
              <w:t xml:space="preserve"> организаций и потребителей тепловой энергии к отопительному периоду осуществляются органами местного самоуправления.</w:t>
            </w:r>
            <w:bookmarkStart w:id="0" w:name="_GoBack"/>
            <w:bookmarkEnd w:id="0"/>
          </w:p>
          <w:p w:rsidR="005B36B1" w:rsidRPr="00665690" w:rsidRDefault="005E3AAD" w:rsidP="005E3AAD">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п. 1.1. ст. 6 ФЗ-190 «О теплоснабжении» предусмотрено, что </w:t>
            </w:r>
            <w:proofErr w:type="gramStart"/>
            <w:r w:rsidRPr="00665690">
              <w:rPr>
                <w:rFonts w:ascii="Times New Roman" w:hAnsi="Times New Roman" w:cs="Times New Roman"/>
                <w:sz w:val="24"/>
                <w:szCs w:val="24"/>
              </w:rPr>
              <w:t>полномочия органов местного самоуправления, предусмотренные  на территории сельского поселения реализуются</w:t>
            </w:r>
            <w:proofErr w:type="gramEnd"/>
            <w:r w:rsidRPr="00665690">
              <w:rPr>
                <w:rFonts w:ascii="Times New Roman" w:hAnsi="Times New Roman" w:cs="Times New Roman"/>
                <w:sz w:val="24"/>
                <w:szCs w:val="24"/>
              </w:rPr>
              <w:t xml:space="preserve">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tc>
      </w:tr>
      <w:tr w:rsidR="005B36B1" w:rsidRPr="00665690" w:rsidTr="00665690">
        <w:trPr>
          <w:trHeight w:val="284"/>
        </w:trPr>
        <w:tc>
          <w:tcPr>
            <w:tcW w:w="851" w:type="dxa"/>
          </w:tcPr>
          <w:p w:rsidR="005B36B1" w:rsidRPr="00665690" w:rsidRDefault="005B36B1" w:rsidP="00A85CDD">
            <w:pPr>
              <w:pStyle w:val="a3"/>
              <w:numPr>
                <w:ilvl w:val="0"/>
                <w:numId w:val="14"/>
              </w:numPr>
              <w:spacing w:after="0" w:line="240" w:lineRule="auto"/>
              <w:ind w:left="33" w:right="33" w:firstLine="0"/>
              <w:jc w:val="center"/>
              <w:rPr>
                <w:rFonts w:ascii="Times New Roman" w:hAnsi="Times New Roman" w:cs="Times New Roman"/>
                <w:sz w:val="24"/>
                <w:szCs w:val="24"/>
              </w:rPr>
            </w:pPr>
          </w:p>
        </w:tc>
        <w:tc>
          <w:tcPr>
            <w:tcW w:w="5528" w:type="dxa"/>
          </w:tcPr>
          <w:p w:rsidR="00E82613"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В силу п. 5 Правил оценки готовности к отопительному периоду, утвержденных Приказом Минэнерго России от 12.03.2013 №103</w:t>
            </w:r>
            <w:r w:rsidR="00404AE3" w:rsidRPr="00665690">
              <w:rPr>
                <w:rFonts w:ascii="Times New Roman" w:hAnsi="Times New Roman" w:cs="Times New Roman"/>
                <w:sz w:val="24"/>
                <w:szCs w:val="24"/>
              </w:rPr>
              <w:t>,</w:t>
            </w:r>
            <w:r w:rsidRPr="00665690">
              <w:rPr>
                <w:rFonts w:ascii="Times New Roman" w:hAnsi="Times New Roman" w:cs="Times New Roman"/>
                <w:sz w:val="24"/>
                <w:szCs w:val="24"/>
              </w:rPr>
              <w:t xml:space="preserve"> проверка готовности к отопительному периоду потребителей тепловой энергии осуществляется комиссиями, образов</w:t>
            </w:r>
            <w:r w:rsidR="00404AE3" w:rsidRPr="00665690">
              <w:rPr>
                <w:rFonts w:ascii="Times New Roman" w:hAnsi="Times New Roman" w:cs="Times New Roman"/>
                <w:sz w:val="24"/>
                <w:szCs w:val="24"/>
              </w:rPr>
              <w:t>анными</w:t>
            </w:r>
            <w:r w:rsidRPr="00665690">
              <w:rPr>
                <w:rFonts w:ascii="Times New Roman" w:hAnsi="Times New Roman" w:cs="Times New Roman"/>
                <w:sz w:val="24"/>
                <w:szCs w:val="24"/>
              </w:rPr>
              <w:t xml:space="preserve"> Федеральной службой по экологическому, технологическому и атомному надзору или органами местного самоуправления поселений, городских округов.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установки потребителей тепловой энергии. </w:t>
            </w:r>
          </w:p>
          <w:p w:rsidR="00E82613"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Ежегодно ПАО «КГК» не включают в состав комиссии по проверке готовности к отопительному периоду потребителей тепловой энергии. В связи с этим ПАО «КГК» не владеет информацией о готовности объектов к отопительному периоду. </w:t>
            </w:r>
          </w:p>
          <w:p w:rsidR="00E82613"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По мнению ПАО «КГК», включение его в состав комиссии по проверке готовности к отопительному периоду потребителей тепловой энергии будет способствовать более продуктивной подготовке к отопительному периоду. </w:t>
            </w:r>
          </w:p>
          <w:p w:rsidR="005B36B1"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Мнение Уральского управления Ростехнадзора по данной теме?</w:t>
            </w:r>
          </w:p>
        </w:tc>
        <w:tc>
          <w:tcPr>
            <w:tcW w:w="9214" w:type="dxa"/>
          </w:tcPr>
          <w:p w:rsidR="00E30DA4" w:rsidRPr="00665690" w:rsidRDefault="00665690" w:rsidP="00E30DA4">
            <w:pPr>
              <w:spacing w:after="0" w:line="240" w:lineRule="auto"/>
              <w:jc w:val="both"/>
              <w:rPr>
                <w:rFonts w:ascii="Times New Roman" w:hAnsi="Times New Roman" w:cs="Times New Roman"/>
                <w:sz w:val="24"/>
                <w:szCs w:val="24"/>
              </w:rPr>
            </w:pPr>
            <w:proofErr w:type="gramStart"/>
            <w:r w:rsidRPr="00665690">
              <w:rPr>
                <w:rFonts w:ascii="Times New Roman" w:hAnsi="Times New Roman" w:cs="Times New Roman"/>
                <w:sz w:val="24"/>
                <w:szCs w:val="24"/>
              </w:rPr>
              <w:t xml:space="preserve">Согласно п. 5 Правил </w:t>
            </w:r>
            <w:r w:rsidR="00E30DA4" w:rsidRPr="00665690">
              <w:rPr>
                <w:rFonts w:ascii="Times New Roman" w:hAnsi="Times New Roman" w:cs="Times New Roman"/>
                <w:sz w:val="24"/>
                <w:szCs w:val="24"/>
              </w:rPr>
              <w:t xml:space="preserve">оценки готовности к отопительному периоду, утвержденных Приказом Минэнерго России от 12.03.2013 №103 (далее – Правила №103),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w:t>
            </w:r>
            <w:proofErr w:type="spellStart"/>
            <w:r w:rsidR="00E30DA4" w:rsidRPr="00665690">
              <w:rPr>
                <w:rFonts w:ascii="Times New Roman" w:hAnsi="Times New Roman" w:cs="Times New Roman"/>
                <w:sz w:val="24"/>
                <w:szCs w:val="24"/>
              </w:rPr>
              <w:t>теплопотребляющие</w:t>
            </w:r>
            <w:proofErr w:type="spellEnd"/>
            <w:r w:rsidR="00E30DA4" w:rsidRPr="00665690">
              <w:rPr>
                <w:rFonts w:ascii="Times New Roman" w:hAnsi="Times New Roman" w:cs="Times New Roman"/>
                <w:sz w:val="24"/>
                <w:szCs w:val="24"/>
              </w:rPr>
              <w:t xml:space="preserve"> установки потребителей тепловой энергии.</w:t>
            </w:r>
            <w:proofErr w:type="gramEnd"/>
          </w:p>
          <w:p w:rsidR="00E30DA4" w:rsidRPr="00665690" w:rsidRDefault="00E30DA4" w:rsidP="00E30DA4">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В силу ст. 20 ФЗ-190 «О теплоснабжении» проверка готовности теплоснабжающих организаций, </w:t>
            </w:r>
            <w:proofErr w:type="spellStart"/>
            <w:r w:rsidRPr="00665690">
              <w:rPr>
                <w:rFonts w:ascii="Times New Roman" w:hAnsi="Times New Roman" w:cs="Times New Roman"/>
                <w:sz w:val="24"/>
                <w:szCs w:val="24"/>
              </w:rPr>
              <w:t>теплосетевых</w:t>
            </w:r>
            <w:proofErr w:type="spellEnd"/>
            <w:r w:rsidRPr="00665690">
              <w:rPr>
                <w:rFonts w:ascii="Times New Roman" w:hAnsi="Times New Roman" w:cs="Times New Roman"/>
                <w:sz w:val="24"/>
                <w:szCs w:val="24"/>
              </w:rPr>
              <w:t xml:space="preserve"> организаций и потребителей тепловой энергии к отопительному периоду осуществляются органами местного самоуправления, а в ценовых зонах теплоснабжения органами местного самоуправления совместно с единой теплоснабжающей организацией. Согласно ст. 23.3. ФЗ-190</w:t>
            </w:r>
            <w:proofErr w:type="gramStart"/>
            <w:r w:rsidRPr="00665690">
              <w:rPr>
                <w:rFonts w:ascii="Times New Roman" w:hAnsi="Times New Roman" w:cs="Times New Roman"/>
                <w:sz w:val="24"/>
                <w:szCs w:val="24"/>
              </w:rPr>
              <w:t xml:space="preserve"> К</w:t>
            </w:r>
            <w:proofErr w:type="gramEnd"/>
            <w:r w:rsidRPr="00665690">
              <w:rPr>
                <w:rFonts w:ascii="Times New Roman" w:hAnsi="Times New Roman" w:cs="Times New Roman"/>
                <w:sz w:val="24"/>
                <w:szCs w:val="24"/>
              </w:rPr>
              <w:t xml:space="preserve"> ценовым зонам теплоснабжения могут быть отнесены поселение, городской округ, соответствующие следующим критериям:</w:t>
            </w:r>
          </w:p>
          <w:p w:rsidR="00E30DA4" w:rsidRPr="00665690" w:rsidRDefault="00E30DA4" w:rsidP="00E30DA4">
            <w:pPr>
              <w:spacing w:after="0" w:line="240" w:lineRule="auto"/>
              <w:jc w:val="both"/>
              <w:rPr>
                <w:rFonts w:ascii="Times New Roman" w:hAnsi="Times New Roman" w:cs="Times New Roman"/>
                <w:sz w:val="24"/>
                <w:szCs w:val="24"/>
              </w:rPr>
            </w:pPr>
            <w:bookmarkStart w:id="1" w:name="dst100631"/>
            <w:bookmarkEnd w:id="1"/>
            <w:r w:rsidRPr="00665690">
              <w:rPr>
                <w:rFonts w:ascii="Times New Roman" w:hAnsi="Times New Roman" w:cs="Times New Roman"/>
                <w:sz w:val="24"/>
                <w:szCs w:val="24"/>
              </w:rPr>
              <w:t>1) наличие утвержденной схемы теплоснабжения поселения, городского округа;</w:t>
            </w:r>
          </w:p>
          <w:p w:rsidR="00E30DA4" w:rsidRPr="00665690" w:rsidRDefault="00E30DA4" w:rsidP="00E30DA4">
            <w:pPr>
              <w:spacing w:after="0" w:line="240" w:lineRule="auto"/>
              <w:jc w:val="both"/>
              <w:rPr>
                <w:rFonts w:ascii="Times New Roman" w:hAnsi="Times New Roman" w:cs="Times New Roman"/>
                <w:sz w:val="24"/>
                <w:szCs w:val="24"/>
              </w:rPr>
            </w:pPr>
            <w:bookmarkStart w:id="2" w:name="dst100632"/>
            <w:bookmarkEnd w:id="2"/>
            <w:proofErr w:type="gramStart"/>
            <w:r w:rsidRPr="00665690">
              <w:rPr>
                <w:rFonts w:ascii="Times New Roman" w:hAnsi="Times New Roman" w:cs="Times New Roman"/>
                <w:sz w:val="24"/>
                <w:szCs w:val="24"/>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roofErr w:type="gramEnd"/>
          </w:p>
          <w:p w:rsidR="00E30DA4" w:rsidRPr="00665690" w:rsidRDefault="00E30DA4" w:rsidP="00E30DA4">
            <w:pPr>
              <w:spacing w:after="0" w:line="240" w:lineRule="auto"/>
              <w:jc w:val="both"/>
              <w:rPr>
                <w:rFonts w:ascii="Times New Roman" w:hAnsi="Times New Roman" w:cs="Times New Roman"/>
                <w:sz w:val="24"/>
                <w:szCs w:val="24"/>
              </w:rPr>
            </w:pPr>
            <w:bookmarkStart w:id="3" w:name="dst100633"/>
            <w:bookmarkEnd w:id="3"/>
            <w:proofErr w:type="gramStart"/>
            <w:r w:rsidRPr="00665690">
              <w:rPr>
                <w:rFonts w:ascii="Times New Roman" w:hAnsi="Times New Roman" w:cs="Times New Roman"/>
                <w:sz w:val="24"/>
                <w:szCs w:val="24"/>
              </w:rPr>
              <w:t>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w:t>
            </w:r>
            <w:proofErr w:type="gramEnd"/>
            <w:r w:rsidRPr="00665690">
              <w:rPr>
                <w:rFonts w:ascii="Times New Roman" w:hAnsi="Times New Roman" w:cs="Times New Roman"/>
                <w:sz w:val="24"/>
                <w:szCs w:val="24"/>
              </w:rPr>
              <w:t xml:space="preserve">. Совместное обращение об отнесении поселения, городского округа к ценовой зоне теплоснабжения включает в </w:t>
            </w:r>
            <w:proofErr w:type="gramStart"/>
            <w:r w:rsidRPr="00665690">
              <w:rPr>
                <w:rFonts w:ascii="Times New Roman" w:hAnsi="Times New Roman" w:cs="Times New Roman"/>
                <w:sz w:val="24"/>
                <w:szCs w:val="24"/>
              </w:rPr>
              <w:t>себя</w:t>
            </w:r>
            <w:proofErr w:type="gramEnd"/>
            <w:r w:rsidRPr="00665690">
              <w:rPr>
                <w:rFonts w:ascii="Times New Roman" w:hAnsi="Times New Roman" w:cs="Times New Roman"/>
                <w:sz w:val="24"/>
                <w:szCs w:val="24"/>
              </w:rPr>
              <w:t xml:space="preserve">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w:t>
            </w:r>
            <w:r w:rsidR="00665690" w:rsidRPr="00665690">
              <w:rPr>
                <w:rFonts w:ascii="Times New Roman" w:hAnsi="Times New Roman" w:cs="Times New Roman"/>
                <w:sz w:val="24"/>
                <w:szCs w:val="24"/>
              </w:rPr>
              <w:t xml:space="preserve">для них частями 14 - 18 статьи 23.13 настоящего </w:t>
            </w:r>
            <w:r w:rsidRPr="00665690">
              <w:rPr>
                <w:rFonts w:ascii="Times New Roman" w:hAnsi="Times New Roman" w:cs="Times New Roman"/>
                <w:sz w:val="24"/>
                <w:szCs w:val="24"/>
              </w:rPr>
              <w:t>Федерального закона.</w:t>
            </w:r>
          </w:p>
          <w:p w:rsidR="00E30DA4" w:rsidRPr="00665690" w:rsidRDefault="00E30DA4" w:rsidP="00E30DA4">
            <w:pPr>
              <w:spacing w:after="0" w:line="240" w:lineRule="auto"/>
              <w:jc w:val="both"/>
              <w:rPr>
                <w:rFonts w:ascii="Times New Roman" w:hAnsi="Times New Roman" w:cs="Times New Roman"/>
                <w:sz w:val="24"/>
                <w:szCs w:val="24"/>
              </w:rPr>
            </w:pPr>
            <w:bookmarkStart w:id="4" w:name="dst100634"/>
            <w:bookmarkEnd w:id="4"/>
            <w:r w:rsidRPr="00665690">
              <w:rPr>
                <w:rFonts w:ascii="Times New Roman" w:hAnsi="Times New Roman" w:cs="Times New Roman"/>
                <w:sz w:val="24"/>
                <w:szCs w:val="24"/>
              </w:rPr>
              <w:t xml:space="preserve">4) наличие </w:t>
            </w:r>
            <w:proofErr w:type="gramStart"/>
            <w:r w:rsidRPr="00665690">
              <w:rPr>
                <w:rFonts w:ascii="Times New Roman" w:hAnsi="Times New Roman" w:cs="Times New Roman"/>
                <w:sz w:val="24"/>
                <w:szCs w:val="24"/>
              </w:rPr>
              <w:t>согласия высшего исполнительного органа государственной власти субъекта Российской Федерации</w:t>
            </w:r>
            <w:proofErr w:type="gramEnd"/>
            <w:r w:rsidRPr="00665690">
              <w:rPr>
                <w:rFonts w:ascii="Times New Roman" w:hAnsi="Times New Roman" w:cs="Times New Roman"/>
                <w:sz w:val="24"/>
                <w:szCs w:val="24"/>
              </w:rPr>
              <w:t xml:space="preserve"> на отнесение поселения, городского округа, находящихся на территории субъекта Российской Федерации, к ценовой зоне теплоснабжения.</w:t>
            </w:r>
          </w:p>
          <w:p w:rsidR="00E30DA4" w:rsidRPr="00665690" w:rsidRDefault="00E30DA4" w:rsidP="00E30DA4">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 г.Курган не относится к ценовой зоне теплоснабжения. </w:t>
            </w:r>
          </w:p>
          <w:p w:rsidR="005B36B1" w:rsidRPr="00665690" w:rsidRDefault="005B36B1" w:rsidP="005B36B1">
            <w:pPr>
              <w:spacing w:after="0" w:line="240" w:lineRule="auto"/>
              <w:jc w:val="both"/>
              <w:rPr>
                <w:rFonts w:ascii="Times New Roman" w:hAnsi="Times New Roman" w:cs="Times New Roman"/>
                <w:sz w:val="24"/>
                <w:szCs w:val="24"/>
              </w:rPr>
            </w:pPr>
          </w:p>
        </w:tc>
      </w:tr>
      <w:tr w:rsidR="005B36B1" w:rsidRPr="00665690" w:rsidTr="00665690">
        <w:trPr>
          <w:trHeight w:val="284"/>
        </w:trPr>
        <w:tc>
          <w:tcPr>
            <w:tcW w:w="851" w:type="dxa"/>
          </w:tcPr>
          <w:p w:rsidR="005B36B1" w:rsidRPr="00665690" w:rsidRDefault="005B36B1" w:rsidP="00A85CDD">
            <w:pPr>
              <w:pStyle w:val="a3"/>
              <w:numPr>
                <w:ilvl w:val="0"/>
                <w:numId w:val="14"/>
              </w:numPr>
              <w:spacing w:after="0" w:line="240" w:lineRule="auto"/>
              <w:ind w:left="33" w:right="33" w:firstLine="0"/>
              <w:jc w:val="center"/>
              <w:rPr>
                <w:rFonts w:ascii="Times New Roman" w:hAnsi="Times New Roman" w:cs="Times New Roman"/>
                <w:sz w:val="24"/>
                <w:szCs w:val="24"/>
              </w:rPr>
            </w:pPr>
          </w:p>
        </w:tc>
        <w:tc>
          <w:tcPr>
            <w:tcW w:w="5528" w:type="dxa"/>
          </w:tcPr>
          <w:p w:rsidR="00E82613"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Согласно Правил</w:t>
            </w:r>
            <w:r w:rsidR="00404AE3" w:rsidRPr="00665690">
              <w:rPr>
                <w:rFonts w:ascii="Times New Roman" w:hAnsi="Times New Roman" w:cs="Times New Roman"/>
                <w:sz w:val="24"/>
                <w:szCs w:val="24"/>
              </w:rPr>
              <w:t>ам</w:t>
            </w:r>
            <w:r w:rsidRPr="00665690">
              <w:rPr>
                <w:rFonts w:ascii="Times New Roman" w:hAnsi="Times New Roman" w:cs="Times New Roman"/>
                <w:sz w:val="24"/>
                <w:szCs w:val="24"/>
              </w:rPr>
              <w:t xml:space="preserve"> оценки готовности к отопительному периоду, утвержденны</w:t>
            </w:r>
            <w:r w:rsidR="00404AE3" w:rsidRPr="00665690">
              <w:rPr>
                <w:rFonts w:ascii="Times New Roman" w:hAnsi="Times New Roman" w:cs="Times New Roman"/>
                <w:sz w:val="24"/>
                <w:szCs w:val="24"/>
              </w:rPr>
              <w:t>м</w:t>
            </w:r>
            <w:r w:rsidRPr="00665690">
              <w:rPr>
                <w:rFonts w:ascii="Times New Roman" w:hAnsi="Times New Roman" w:cs="Times New Roman"/>
                <w:sz w:val="24"/>
                <w:szCs w:val="24"/>
              </w:rPr>
              <w:t xml:space="preserve"> Приказом Минэнерго России от 12.03.2013 №103</w:t>
            </w:r>
            <w:r w:rsidR="00404AE3" w:rsidRPr="00665690">
              <w:rPr>
                <w:rFonts w:ascii="Times New Roman" w:hAnsi="Times New Roman" w:cs="Times New Roman"/>
                <w:sz w:val="24"/>
                <w:szCs w:val="24"/>
              </w:rPr>
              <w:t>,</w:t>
            </w:r>
            <w:r w:rsidRPr="00665690">
              <w:rPr>
                <w:rFonts w:ascii="Times New Roman" w:hAnsi="Times New Roman" w:cs="Times New Roman"/>
                <w:sz w:val="24"/>
                <w:szCs w:val="24"/>
              </w:rPr>
              <w:t xml:space="preserve"> паспорт готовности к отопительному периоду является документом, подтверждающим готовность объекта проверки к отопительному периоду.</w:t>
            </w:r>
          </w:p>
          <w:p w:rsidR="00E82613"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Должен ли потребитель тепловой энергии, обслуживающая организация предъявлять паспорт готовности объекта к отопительному периоду теплоснабжающей организации перед началом отопительного периода?</w:t>
            </w:r>
          </w:p>
          <w:p w:rsidR="005B36B1" w:rsidRPr="00665690" w:rsidRDefault="00E82613" w:rsidP="00E8261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В случае отсутствия паспорта готовности объекта к отопительному периоду вправе ли теплоснабжающая организация ограничить поставку тепловой энергии?</w:t>
            </w:r>
          </w:p>
        </w:tc>
        <w:tc>
          <w:tcPr>
            <w:tcW w:w="9214" w:type="dxa"/>
          </w:tcPr>
          <w:p w:rsidR="00E30DA4" w:rsidRPr="00665690" w:rsidRDefault="00E30DA4" w:rsidP="00E30DA4">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Законодательством не предусмотрено предъявление паспорта готовности потребителем тепловой энергии теплоснабжающей организации. </w:t>
            </w:r>
          </w:p>
          <w:p w:rsidR="00E30DA4" w:rsidRPr="00665690" w:rsidRDefault="00E30DA4" w:rsidP="00E30DA4">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Ограничение подачи тепловой энергии регламентируется ст.22 ФЗ-190.</w:t>
            </w:r>
          </w:p>
          <w:p w:rsidR="00E30DA4" w:rsidRPr="00665690" w:rsidRDefault="00E30DA4" w:rsidP="00E30DA4">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1. </w:t>
            </w:r>
            <w:proofErr w:type="gramStart"/>
            <w:r w:rsidRPr="00665690">
              <w:rPr>
                <w:rFonts w:ascii="Times New Roman" w:hAnsi="Times New Roman" w:cs="Times New Roman"/>
                <w:sz w:val="24"/>
                <w:szCs w:val="24"/>
              </w:rPr>
              <w:t xml:space="preserve">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w:t>
            </w:r>
            <w:r w:rsidR="00665690" w:rsidRPr="00665690">
              <w:rPr>
                <w:rFonts w:ascii="Times New Roman" w:hAnsi="Times New Roman" w:cs="Times New Roman"/>
                <w:sz w:val="24"/>
                <w:szCs w:val="24"/>
              </w:rPr>
              <w:t>установленном правилами организации теплоснабжения, утвержденными Правительством Российской Федерации</w:t>
            </w:r>
            <w:proofErr w:type="gramEnd"/>
            <w:r w:rsidR="00665690" w:rsidRPr="00665690">
              <w:rPr>
                <w:rFonts w:ascii="Times New Roman" w:hAnsi="Times New Roman" w:cs="Times New Roman"/>
                <w:sz w:val="24"/>
                <w:szCs w:val="24"/>
              </w:rPr>
              <w:t xml:space="preserve">. Правилами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w:t>
            </w:r>
            <w:r w:rsidRPr="00665690">
              <w:rPr>
                <w:rFonts w:ascii="Times New Roman" w:hAnsi="Times New Roman" w:cs="Times New Roman"/>
                <w:sz w:val="24"/>
                <w:szCs w:val="24"/>
              </w:rPr>
              <w:t>введения в отношении них ограничения, прекращения подачи тепловой энергии, теплоносителя.</w:t>
            </w:r>
          </w:p>
          <w:p w:rsidR="00E30DA4" w:rsidRPr="00665690" w:rsidRDefault="00E30DA4" w:rsidP="00E30DA4">
            <w:pPr>
              <w:spacing w:after="0" w:line="240" w:lineRule="auto"/>
              <w:jc w:val="both"/>
              <w:rPr>
                <w:rFonts w:ascii="Times New Roman" w:hAnsi="Times New Roman" w:cs="Times New Roman"/>
                <w:sz w:val="24"/>
                <w:szCs w:val="24"/>
              </w:rPr>
            </w:pPr>
            <w:bookmarkStart w:id="5" w:name="dst100348"/>
            <w:bookmarkEnd w:id="5"/>
            <w:r w:rsidRPr="00665690">
              <w:rPr>
                <w:rFonts w:ascii="Times New Roman" w:hAnsi="Times New Roman" w:cs="Times New Roman"/>
                <w:sz w:val="24"/>
                <w:szCs w:val="24"/>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E30DA4" w:rsidRPr="00665690" w:rsidRDefault="00E30DA4" w:rsidP="00E30DA4">
            <w:pPr>
              <w:spacing w:after="0" w:line="240" w:lineRule="auto"/>
              <w:jc w:val="both"/>
              <w:rPr>
                <w:rFonts w:ascii="Times New Roman" w:hAnsi="Times New Roman" w:cs="Times New Roman"/>
                <w:sz w:val="24"/>
                <w:szCs w:val="24"/>
              </w:rPr>
            </w:pPr>
            <w:bookmarkStart w:id="6" w:name="dst100349"/>
            <w:bookmarkEnd w:id="6"/>
            <w:r w:rsidRPr="00665690">
              <w:rPr>
                <w:rFonts w:ascii="Times New Roman" w:hAnsi="Times New Roman" w:cs="Times New Roman"/>
                <w:sz w:val="24"/>
                <w:szCs w:val="24"/>
              </w:rPr>
              <w:t xml:space="preserve">3. Теплоснабжающая организация имеет право осуществить в присутствии представителей </w:t>
            </w:r>
            <w:proofErr w:type="spellStart"/>
            <w:r w:rsidRPr="00665690">
              <w:rPr>
                <w:rFonts w:ascii="Times New Roman" w:hAnsi="Times New Roman" w:cs="Times New Roman"/>
                <w:sz w:val="24"/>
                <w:szCs w:val="24"/>
              </w:rPr>
              <w:t>теплосетевой</w:t>
            </w:r>
            <w:proofErr w:type="spellEnd"/>
            <w:r w:rsidRPr="00665690">
              <w:rPr>
                <w:rFonts w:ascii="Times New Roman" w:hAnsi="Times New Roman" w:cs="Times New Roman"/>
                <w:sz w:val="24"/>
                <w:szCs w:val="24"/>
              </w:rPr>
              <w:t xml:space="preserve"> организации и потребителя необходимые переключения в </w:t>
            </w:r>
            <w:proofErr w:type="spellStart"/>
            <w:r w:rsidRPr="00665690">
              <w:rPr>
                <w:rFonts w:ascii="Times New Roman" w:hAnsi="Times New Roman" w:cs="Times New Roman"/>
                <w:sz w:val="24"/>
                <w:szCs w:val="24"/>
              </w:rPr>
              <w:t>теплопотребляющих</w:t>
            </w:r>
            <w:proofErr w:type="spellEnd"/>
            <w:r w:rsidRPr="00665690">
              <w:rPr>
                <w:rFonts w:ascii="Times New Roman" w:hAnsi="Times New Roman" w:cs="Times New Roman"/>
                <w:sz w:val="24"/>
                <w:szCs w:val="24"/>
              </w:rPr>
              <w:t xml:space="preserve">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E30DA4" w:rsidRPr="00665690" w:rsidRDefault="00E30DA4" w:rsidP="00E30DA4">
            <w:pPr>
              <w:spacing w:after="0" w:line="240" w:lineRule="auto"/>
              <w:jc w:val="both"/>
              <w:rPr>
                <w:rFonts w:ascii="Times New Roman" w:hAnsi="Times New Roman" w:cs="Times New Roman"/>
                <w:sz w:val="24"/>
                <w:szCs w:val="24"/>
              </w:rPr>
            </w:pPr>
            <w:bookmarkStart w:id="7" w:name="dst100350"/>
            <w:bookmarkEnd w:id="7"/>
            <w:r w:rsidRPr="00665690">
              <w:rPr>
                <w:rFonts w:ascii="Times New Roman" w:hAnsi="Times New Roman" w:cs="Times New Roman"/>
                <w:sz w:val="24"/>
                <w:szCs w:val="24"/>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665690" w:rsidRPr="00665690" w:rsidRDefault="00E30DA4" w:rsidP="00665690">
            <w:pPr>
              <w:spacing w:after="0" w:line="240" w:lineRule="auto"/>
              <w:jc w:val="both"/>
              <w:rPr>
                <w:rFonts w:ascii="Times New Roman" w:hAnsi="Times New Roman" w:cs="Times New Roman"/>
                <w:sz w:val="24"/>
                <w:szCs w:val="24"/>
              </w:rPr>
            </w:pPr>
            <w:bookmarkStart w:id="8" w:name="dst100351"/>
            <w:bookmarkEnd w:id="8"/>
            <w:r w:rsidRPr="00665690">
              <w:rPr>
                <w:rFonts w:ascii="Times New Roman" w:hAnsi="Times New Roman" w:cs="Times New Roman"/>
                <w:sz w:val="24"/>
                <w:szCs w:val="24"/>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w:t>
            </w:r>
            <w:r w:rsidR="00665690" w:rsidRPr="00665690">
              <w:rPr>
                <w:rFonts w:ascii="Times New Roman" w:hAnsi="Times New Roman" w:cs="Times New Roman"/>
                <w:sz w:val="24"/>
                <w:szCs w:val="24"/>
              </w:rPr>
              <w:t>возникшие в результате данного нарушения убытки в соответствии с гражданским законодательством.</w:t>
            </w:r>
          </w:p>
          <w:p w:rsidR="00665690"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6. В случае</w:t>
            </w:r>
            <w:proofErr w:type="gramStart"/>
            <w:r w:rsidRPr="00665690">
              <w:rPr>
                <w:rFonts w:ascii="Times New Roman" w:hAnsi="Times New Roman" w:cs="Times New Roman"/>
                <w:sz w:val="24"/>
                <w:szCs w:val="24"/>
              </w:rPr>
              <w:t>,</w:t>
            </w:r>
            <w:proofErr w:type="gramEnd"/>
            <w:r w:rsidRPr="00665690">
              <w:rPr>
                <w:rFonts w:ascii="Times New Roman" w:hAnsi="Times New Roman" w:cs="Times New Roman"/>
                <w:sz w:val="24"/>
                <w:szCs w:val="24"/>
              </w:rPr>
              <w:t xml:space="preserve"> если подача тепловой энергии (мощности) потребителю осуществляется по тепловым сетям, принадлежащим </w:t>
            </w:r>
            <w:proofErr w:type="spellStart"/>
            <w:r w:rsidRPr="00665690">
              <w:rPr>
                <w:rFonts w:ascii="Times New Roman" w:hAnsi="Times New Roman" w:cs="Times New Roman"/>
                <w:sz w:val="24"/>
                <w:szCs w:val="24"/>
              </w:rPr>
              <w:t>теплосетевой</w:t>
            </w:r>
            <w:proofErr w:type="spellEnd"/>
            <w:r w:rsidRPr="00665690">
              <w:rPr>
                <w:rFonts w:ascii="Times New Roman" w:hAnsi="Times New Roman" w:cs="Times New Roman"/>
                <w:sz w:val="24"/>
                <w:szCs w:val="24"/>
              </w:rPr>
              <w:t xml:space="preserve"> организации, действия по ограничению, прекращению данной подачи в порядке, установленном настоящей статьей, осуществляются </w:t>
            </w:r>
            <w:proofErr w:type="spellStart"/>
            <w:r w:rsidRPr="00665690">
              <w:rPr>
                <w:rFonts w:ascii="Times New Roman" w:hAnsi="Times New Roman" w:cs="Times New Roman"/>
                <w:sz w:val="24"/>
                <w:szCs w:val="24"/>
              </w:rPr>
              <w:t>теплосетевой</w:t>
            </w:r>
            <w:proofErr w:type="spellEnd"/>
            <w:r w:rsidRPr="00665690">
              <w:rPr>
                <w:rFonts w:ascii="Times New Roman" w:hAnsi="Times New Roman" w:cs="Times New Roman"/>
                <w:sz w:val="24"/>
                <w:szCs w:val="24"/>
              </w:rPr>
              <w:t xml:space="preserve"> организацией на основании уведомления, направленного в теплоснабжающую организацию.</w:t>
            </w:r>
          </w:p>
          <w:p w:rsidR="00E30DA4"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7. Теплоснабжающие организации и </w:t>
            </w:r>
            <w:proofErr w:type="spellStart"/>
            <w:r w:rsidRPr="00665690">
              <w:rPr>
                <w:rFonts w:ascii="Times New Roman" w:hAnsi="Times New Roman" w:cs="Times New Roman"/>
                <w:sz w:val="24"/>
                <w:szCs w:val="24"/>
              </w:rPr>
              <w:t>теплосетевые</w:t>
            </w:r>
            <w:proofErr w:type="spellEnd"/>
            <w:r w:rsidRPr="00665690">
              <w:rPr>
                <w:rFonts w:ascii="Times New Roman" w:hAnsi="Times New Roman" w:cs="Times New Roman"/>
                <w:sz w:val="24"/>
                <w:szCs w:val="24"/>
              </w:rPr>
              <w:t xml:space="preserve">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w:t>
            </w:r>
            <w:proofErr w:type="spellStart"/>
            <w:r w:rsidRPr="00665690">
              <w:rPr>
                <w:rFonts w:ascii="Times New Roman" w:hAnsi="Times New Roman" w:cs="Times New Roman"/>
                <w:sz w:val="24"/>
                <w:szCs w:val="24"/>
              </w:rPr>
              <w:t>теплосетевые</w:t>
            </w:r>
            <w:proofErr w:type="spellEnd"/>
            <w:r w:rsidRPr="00665690">
              <w:rPr>
                <w:rFonts w:ascii="Times New Roman" w:hAnsi="Times New Roman" w:cs="Times New Roman"/>
                <w:sz w:val="24"/>
                <w:szCs w:val="24"/>
              </w:rPr>
              <w:t xml:space="preserve">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w:t>
            </w:r>
            <w:proofErr w:type="spellStart"/>
            <w:r w:rsidRPr="00665690">
              <w:rPr>
                <w:rFonts w:ascii="Times New Roman" w:hAnsi="Times New Roman" w:cs="Times New Roman"/>
                <w:sz w:val="24"/>
                <w:szCs w:val="24"/>
              </w:rPr>
              <w:t>теплосетевой</w:t>
            </w:r>
            <w:proofErr w:type="spellEnd"/>
            <w:r w:rsidRPr="00665690">
              <w:rPr>
                <w:rFonts w:ascii="Times New Roman" w:hAnsi="Times New Roman" w:cs="Times New Roman"/>
                <w:sz w:val="24"/>
                <w:szCs w:val="24"/>
              </w:rPr>
              <w:t xml:space="preserve"> организации к приборам учета и </w:t>
            </w:r>
            <w:proofErr w:type="spellStart"/>
            <w:r w:rsidRPr="00665690">
              <w:rPr>
                <w:rFonts w:ascii="Times New Roman" w:hAnsi="Times New Roman" w:cs="Times New Roman"/>
                <w:sz w:val="24"/>
                <w:szCs w:val="24"/>
              </w:rPr>
              <w:t>теплопотребляющим</w:t>
            </w:r>
            <w:proofErr w:type="spellEnd"/>
            <w:r w:rsidRPr="00665690">
              <w:rPr>
                <w:rFonts w:ascii="Times New Roman" w:hAnsi="Times New Roman" w:cs="Times New Roman"/>
                <w:sz w:val="24"/>
                <w:szCs w:val="24"/>
              </w:rPr>
              <w:t xml:space="preserve"> установкам </w:t>
            </w:r>
            <w:r w:rsidR="00E30DA4" w:rsidRPr="00665690">
              <w:rPr>
                <w:rFonts w:ascii="Times New Roman" w:hAnsi="Times New Roman" w:cs="Times New Roman"/>
                <w:sz w:val="24"/>
                <w:szCs w:val="24"/>
              </w:rPr>
              <w:t>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665690" w:rsidRPr="00665690" w:rsidRDefault="00E30DA4" w:rsidP="00665690">
            <w:pPr>
              <w:spacing w:after="0" w:line="240" w:lineRule="auto"/>
              <w:jc w:val="both"/>
              <w:rPr>
                <w:rFonts w:ascii="Times New Roman" w:hAnsi="Times New Roman" w:cs="Times New Roman"/>
                <w:sz w:val="24"/>
                <w:szCs w:val="24"/>
              </w:rPr>
            </w:pPr>
            <w:bookmarkStart w:id="9" w:name="dst100354"/>
            <w:bookmarkEnd w:id="9"/>
            <w:r w:rsidRPr="00665690">
              <w:rPr>
                <w:rFonts w:ascii="Times New Roman" w:hAnsi="Times New Roman" w:cs="Times New Roman"/>
                <w:sz w:val="24"/>
                <w:szCs w:val="24"/>
              </w:rPr>
              <w:t xml:space="preserve">8. Теплоснабжающей организацией или </w:t>
            </w:r>
            <w:proofErr w:type="spellStart"/>
            <w:r w:rsidRPr="00665690">
              <w:rPr>
                <w:rFonts w:ascii="Times New Roman" w:hAnsi="Times New Roman" w:cs="Times New Roman"/>
                <w:sz w:val="24"/>
                <w:szCs w:val="24"/>
              </w:rPr>
              <w:t>теплосетевой</w:t>
            </w:r>
            <w:proofErr w:type="spellEnd"/>
            <w:r w:rsidRPr="00665690">
              <w:rPr>
                <w:rFonts w:ascii="Times New Roman" w:hAnsi="Times New Roman" w:cs="Times New Roman"/>
                <w:sz w:val="24"/>
                <w:szCs w:val="24"/>
              </w:rPr>
              <w:t xml:space="preserve">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w:t>
            </w:r>
            <w:proofErr w:type="gramStart"/>
            <w:r w:rsidRPr="00665690">
              <w:rPr>
                <w:rFonts w:ascii="Times New Roman" w:hAnsi="Times New Roman" w:cs="Times New Roman"/>
                <w:sz w:val="24"/>
                <w:szCs w:val="24"/>
              </w:rPr>
              <w:t>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w:t>
            </w:r>
            <w:proofErr w:type="gramEnd"/>
            <w:r w:rsidRPr="00665690">
              <w:rPr>
                <w:rFonts w:ascii="Times New Roman" w:hAnsi="Times New Roman" w:cs="Times New Roman"/>
                <w:sz w:val="24"/>
                <w:szCs w:val="24"/>
              </w:rPr>
              <w:t xml:space="preserve">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w:t>
            </w:r>
            <w:proofErr w:type="gramStart"/>
            <w:r w:rsidRPr="00665690">
              <w:rPr>
                <w:rFonts w:ascii="Times New Roman" w:hAnsi="Times New Roman" w:cs="Times New Roman"/>
                <w:sz w:val="24"/>
                <w:szCs w:val="24"/>
              </w:rPr>
              <w:t xml:space="preserve">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w:t>
            </w:r>
            <w:proofErr w:type="spellStart"/>
            <w:r w:rsidRPr="00665690">
              <w:rPr>
                <w:rFonts w:ascii="Times New Roman" w:hAnsi="Times New Roman" w:cs="Times New Roman"/>
                <w:sz w:val="24"/>
                <w:szCs w:val="24"/>
              </w:rPr>
              <w:t>ак</w:t>
            </w:r>
            <w:proofErr w:type="spellEnd"/>
            <w:r w:rsidR="00665690">
              <w:t xml:space="preserve"> </w:t>
            </w:r>
            <w:r w:rsidR="00665690" w:rsidRPr="00665690">
              <w:rPr>
                <w:rFonts w:ascii="Times New Roman" w:hAnsi="Times New Roman" w:cs="Times New Roman"/>
                <w:sz w:val="24"/>
                <w:szCs w:val="24"/>
              </w:rPr>
              <w:t>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w:t>
            </w:r>
            <w:proofErr w:type="gramEnd"/>
            <w:r w:rsidR="00665690" w:rsidRPr="00665690">
              <w:rPr>
                <w:rFonts w:ascii="Times New Roman" w:hAnsi="Times New Roman" w:cs="Times New Roman"/>
                <w:sz w:val="24"/>
                <w:szCs w:val="24"/>
              </w:rPr>
              <w:t xml:space="preserve">, теплоносителя, </w:t>
            </w:r>
            <w:proofErr w:type="gramStart"/>
            <w:r w:rsidR="00665690" w:rsidRPr="00665690">
              <w:rPr>
                <w:rFonts w:ascii="Times New Roman" w:hAnsi="Times New Roman" w:cs="Times New Roman"/>
                <w:sz w:val="24"/>
                <w:szCs w:val="24"/>
              </w:rPr>
              <w:t>утвержденными</w:t>
            </w:r>
            <w:proofErr w:type="gramEnd"/>
            <w:r w:rsidR="00665690" w:rsidRPr="00665690">
              <w:rPr>
                <w:rFonts w:ascii="Times New Roman" w:hAnsi="Times New Roman" w:cs="Times New Roman"/>
                <w:sz w:val="24"/>
                <w:szCs w:val="24"/>
              </w:rPr>
              <w:t xml:space="preserve"> Правительством Российской Федерации. Объем бездоговорного потребления тепловой энергии, теплоносителя определяется за весь период, истекший </w:t>
            </w:r>
            <w:proofErr w:type="gramStart"/>
            <w:r w:rsidR="00665690" w:rsidRPr="00665690">
              <w:rPr>
                <w:rFonts w:ascii="Times New Roman" w:hAnsi="Times New Roman" w:cs="Times New Roman"/>
                <w:sz w:val="24"/>
                <w:szCs w:val="24"/>
              </w:rPr>
              <w:t>с даты</w:t>
            </w:r>
            <w:proofErr w:type="gramEnd"/>
            <w:r w:rsidR="00665690" w:rsidRPr="00665690">
              <w:rPr>
                <w:rFonts w:ascii="Times New Roman" w:hAnsi="Times New Roman" w:cs="Times New Roman"/>
                <w:sz w:val="24"/>
                <w:szCs w:val="24"/>
              </w:rPr>
              <w:t xml:space="preserve"> предыдущей проверки, в месте осуществления бездоговорного потребления тепловой энергии, теплоносителя, но не более чем за три года.</w:t>
            </w:r>
          </w:p>
          <w:p w:rsidR="00665690"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(в ред. Федерального закона от 30.12.2012 N 291-ФЗ)</w:t>
            </w:r>
          </w:p>
          <w:p w:rsidR="00665690"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(см. те</w:t>
            </w:r>
            <w:proofErr w:type="gramStart"/>
            <w:r w:rsidRPr="00665690">
              <w:rPr>
                <w:rFonts w:ascii="Times New Roman" w:hAnsi="Times New Roman" w:cs="Times New Roman"/>
                <w:sz w:val="24"/>
                <w:szCs w:val="24"/>
              </w:rPr>
              <w:t>кст в пр</w:t>
            </w:r>
            <w:proofErr w:type="gramEnd"/>
            <w:r w:rsidRPr="00665690">
              <w:rPr>
                <w:rFonts w:ascii="Times New Roman" w:hAnsi="Times New Roman" w:cs="Times New Roman"/>
                <w:sz w:val="24"/>
                <w:szCs w:val="24"/>
              </w:rPr>
              <w:t>едыдущей редакции)</w:t>
            </w:r>
          </w:p>
          <w:p w:rsidR="00E30DA4"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10. </w:t>
            </w:r>
            <w:proofErr w:type="gramStart"/>
            <w:r w:rsidRPr="00665690">
              <w:rPr>
                <w:rFonts w:ascii="Times New Roman" w:hAnsi="Times New Roman" w:cs="Times New Roman"/>
                <w:sz w:val="24"/>
                <w:szCs w:val="24"/>
              </w:rPr>
              <w:t xml:space="preserve">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w:t>
            </w:r>
            <w:r w:rsidR="00E30DA4" w:rsidRPr="00665690">
              <w:rPr>
                <w:rFonts w:ascii="Times New Roman" w:hAnsi="Times New Roman" w:cs="Times New Roman"/>
                <w:sz w:val="24"/>
                <w:szCs w:val="24"/>
              </w:rPr>
              <w:t>те, составленном в присутствии двух незаинтересованных лиц и подписанном ими.</w:t>
            </w:r>
            <w:proofErr w:type="gramEnd"/>
          </w:p>
          <w:p w:rsidR="00665690" w:rsidRPr="00665690" w:rsidRDefault="00E30DA4" w:rsidP="00665690">
            <w:pPr>
              <w:spacing w:after="0" w:line="240" w:lineRule="auto"/>
              <w:jc w:val="both"/>
              <w:rPr>
                <w:rFonts w:ascii="Times New Roman" w:hAnsi="Times New Roman" w:cs="Times New Roman"/>
                <w:sz w:val="24"/>
                <w:szCs w:val="24"/>
              </w:rPr>
            </w:pPr>
            <w:bookmarkStart w:id="10" w:name="dst102"/>
            <w:bookmarkEnd w:id="10"/>
            <w:r w:rsidRPr="00665690">
              <w:rPr>
                <w:rFonts w:ascii="Times New Roman" w:hAnsi="Times New Roman" w:cs="Times New Roman"/>
                <w:sz w:val="24"/>
                <w:szCs w:val="24"/>
              </w:rPr>
              <w:t xml:space="preserve">9. </w:t>
            </w:r>
            <w:proofErr w:type="gramStart"/>
            <w:r w:rsidRPr="00665690">
              <w:rPr>
                <w:rFonts w:ascii="Times New Roman" w:hAnsi="Times New Roman" w:cs="Times New Roman"/>
                <w:sz w:val="24"/>
                <w:szCs w:val="24"/>
              </w:rPr>
              <w:t xml:space="preserve">Расчет объема бездоговорного потребления тепловой энергии, теплоносителя и их стоимости осуществляется теплоснабжающей организацией или </w:t>
            </w:r>
            <w:proofErr w:type="spellStart"/>
            <w:r w:rsidRPr="00665690">
              <w:rPr>
                <w:rFonts w:ascii="Times New Roman" w:hAnsi="Times New Roman" w:cs="Times New Roman"/>
                <w:sz w:val="24"/>
                <w:szCs w:val="24"/>
              </w:rPr>
              <w:t>теплосетевой</w:t>
            </w:r>
            <w:proofErr w:type="spellEnd"/>
            <w:r w:rsidRPr="00665690">
              <w:rPr>
                <w:rFonts w:ascii="Times New Roman" w:hAnsi="Times New Roman" w:cs="Times New Roman"/>
                <w:sz w:val="24"/>
                <w:szCs w:val="24"/>
              </w:rPr>
              <w:t xml:space="preserve">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w:t>
            </w:r>
            <w:r w:rsidR="00665690" w:rsidRPr="00665690">
              <w:rPr>
                <w:rFonts w:ascii="Times New Roman" w:hAnsi="Times New Roman" w:cs="Times New Roman"/>
                <w:sz w:val="24"/>
                <w:szCs w:val="24"/>
              </w:rPr>
              <w:t>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w:t>
            </w:r>
            <w:proofErr w:type="gramEnd"/>
            <w:r w:rsidR="00665690" w:rsidRPr="00665690">
              <w:rPr>
                <w:rFonts w:ascii="Times New Roman" w:hAnsi="Times New Roman" w:cs="Times New Roman"/>
                <w:sz w:val="24"/>
                <w:szCs w:val="24"/>
              </w:rPr>
              <w:t xml:space="preserve"> Федерации. Объем бездоговорного потребления тепловой энергии, теплоносителя определяется за весь период, истекший </w:t>
            </w:r>
            <w:proofErr w:type="gramStart"/>
            <w:r w:rsidR="00665690" w:rsidRPr="00665690">
              <w:rPr>
                <w:rFonts w:ascii="Times New Roman" w:hAnsi="Times New Roman" w:cs="Times New Roman"/>
                <w:sz w:val="24"/>
                <w:szCs w:val="24"/>
              </w:rPr>
              <w:t>с даты</w:t>
            </w:r>
            <w:proofErr w:type="gramEnd"/>
            <w:r w:rsidR="00665690" w:rsidRPr="00665690">
              <w:rPr>
                <w:rFonts w:ascii="Times New Roman" w:hAnsi="Times New Roman" w:cs="Times New Roman"/>
                <w:sz w:val="24"/>
                <w:szCs w:val="24"/>
              </w:rPr>
              <w:t xml:space="preserve"> предыдущей проверки, в месте осуществления бездоговорного потребления тепловой энергии, теплоносителя, но не более чем за три года.</w:t>
            </w:r>
          </w:p>
          <w:p w:rsidR="00665690"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w:t>
            </w:r>
            <w:proofErr w:type="gramStart"/>
            <w:r w:rsidRPr="00665690">
              <w:rPr>
                <w:rFonts w:ascii="Times New Roman" w:hAnsi="Times New Roman" w:cs="Times New Roman"/>
                <w:sz w:val="24"/>
                <w:szCs w:val="24"/>
              </w:rPr>
              <w:t>в</w:t>
            </w:r>
            <w:proofErr w:type="gramEnd"/>
            <w:r w:rsidRPr="00665690">
              <w:rPr>
                <w:rFonts w:ascii="Times New Roman" w:hAnsi="Times New Roman" w:cs="Times New Roman"/>
                <w:sz w:val="24"/>
                <w:szCs w:val="24"/>
              </w:rPr>
              <w:t xml:space="preserve"> ред. Федерального закона от 30.12.2012 N 291-ФЗ)</w:t>
            </w:r>
          </w:p>
          <w:p w:rsidR="00665690"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(см. те</w:t>
            </w:r>
            <w:proofErr w:type="gramStart"/>
            <w:r w:rsidRPr="00665690">
              <w:rPr>
                <w:rFonts w:ascii="Times New Roman" w:hAnsi="Times New Roman" w:cs="Times New Roman"/>
                <w:sz w:val="24"/>
                <w:szCs w:val="24"/>
              </w:rPr>
              <w:t>кст в пр</w:t>
            </w:r>
            <w:proofErr w:type="gramEnd"/>
            <w:r w:rsidRPr="00665690">
              <w:rPr>
                <w:rFonts w:ascii="Times New Roman" w:hAnsi="Times New Roman" w:cs="Times New Roman"/>
                <w:sz w:val="24"/>
                <w:szCs w:val="24"/>
              </w:rPr>
              <w:t>едыдущей редакции)</w:t>
            </w:r>
          </w:p>
          <w:p w:rsidR="00E30DA4" w:rsidRPr="00665690" w:rsidRDefault="00665690"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10. </w:t>
            </w:r>
            <w:proofErr w:type="gramStart"/>
            <w:r w:rsidRPr="00665690">
              <w:rPr>
                <w:rFonts w:ascii="Times New Roman" w:hAnsi="Times New Roman" w:cs="Times New Roman"/>
                <w:sz w:val="24"/>
                <w:szCs w:val="24"/>
              </w:rP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w:t>
            </w:r>
            <w:proofErr w:type="gramEnd"/>
            <w:r w:rsidRPr="00665690">
              <w:rPr>
                <w:rFonts w:ascii="Times New Roman" w:hAnsi="Times New Roman" w:cs="Times New Roman"/>
                <w:sz w:val="24"/>
                <w:szCs w:val="24"/>
              </w:rPr>
              <w:t xml:space="preserve">, теплоносителя, в пятнадцатидневный срок с момента получения соответствующего </w:t>
            </w:r>
            <w:r w:rsidR="00E30DA4" w:rsidRPr="00665690">
              <w:rPr>
                <w:rFonts w:ascii="Times New Roman" w:hAnsi="Times New Roman" w:cs="Times New Roman"/>
                <w:sz w:val="24"/>
                <w:szCs w:val="24"/>
              </w:rPr>
              <w:t xml:space="preserve">требования теплоснабжающей организации. </w:t>
            </w:r>
            <w:proofErr w:type="gramStart"/>
            <w:r w:rsidR="00E30DA4" w:rsidRPr="00665690">
              <w:rPr>
                <w:rFonts w:ascii="Times New Roman" w:hAnsi="Times New Roman" w:cs="Times New Roman"/>
                <w:sz w:val="24"/>
                <w:szCs w:val="24"/>
              </w:rPr>
              <w:t>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w:t>
            </w:r>
            <w:proofErr w:type="gramEnd"/>
            <w:r w:rsidR="00E30DA4" w:rsidRPr="00665690">
              <w:rPr>
                <w:rFonts w:ascii="Times New Roman" w:hAnsi="Times New Roman" w:cs="Times New Roman"/>
                <w:sz w:val="24"/>
                <w:szCs w:val="24"/>
              </w:rPr>
              <w:t xml:space="preserve"> энергии, теплоносителя.</w:t>
            </w:r>
          </w:p>
          <w:p w:rsidR="005B36B1" w:rsidRPr="00665690" w:rsidRDefault="005B36B1" w:rsidP="00E30DA4">
            <w:pPr>
              <w:spacing w:after="0" w:line="240" w:lineRule="auto"/>
              <w:jc w:val="both"/>
              <w:rPr>
                <w:rFonts w:ascii="Times New Roman" w:hAnsi="Times New Roman" w:cs="Times New Roman"/>
                <w:sz w:val="24"/>
                <w:szCs w:val="24"/>
              </w:rPr>
            </w:pPr>
            <w:bookmarkStart w:id="11" w:name="dst33"/>
            <w:bookmarkEnd w:id="11"/>
          </w:p>
        </w:tc>
      </w:tr>
      <w:tr w:rsidR="005B36B1" w:rsidRPr="00665690" w:rsidTr="00665690">
        <w:trPr>
          <w:trHeight w:val="284"/>
        </w:trPr>
        <w:tc>
          <w:tcPr>
            <w:tcW w:w="851" w:type="dxa"/>
          </w:tcPr>
          <w:p w:rsidR="005B36B1" w:rsidRPr="00665690" w:rsidRDefault="005B36B1" w:rsidP="00A85CDD">
            <w:pPr>
              <w:pStyle w:val="a3"/>
              <w:numPr>
                <w:ilvl w:val="0"/>
                <w:numId w:val="14"/>
              </w:numPr>
              <w:spacing w:after="0" w:line="240" w:lineRule="auto"/>
              <w:ind w:left="33" w:right="33" w:firstLine="0"/>
              <w:jc w:val="center"/>
              <w:rPr>
                <w:rFonts w:ascii="Times New Roman" w:hAnsi="Times New Roman" w:cs="Times New Roman"/>
                <w:sz w:val="24"/>
                <w:szCs w:val="24"/>
              </w:rPr>
            </w:pPr>
          </w:p>
        </w:tc>
        <w:tc>
          <w:tcPr>
            <w:tcW w:w="5528" w:type="dxa"/>
          </w:tcPr>
          <w:p w:rsidR="00404AE3" w:rsidRPr="00665690" w:rsidRDefault="00404AE3" w:rsidP="00404AE3">
            <w:pPr>
              <w:spacing w:after="0" w:line="240" w:lineRule="auto"/>
              <w:jc w:val="both"/>
              <w:rPr>
                <w:rFonts w:ascii="Times New Roman" w:hAnsi="Times New Roman" w:cs="Times New Roman"/>
                <w:sz w:val="24"/>
                <w:szCs w:val="24"/>
              </w:rPr>
            </w:pPr>
            <w:proofErr w:type="gramStart"/>
            <w:r w:rsidRPr="00665690">
              <w:rPr>
                <w:rFonts w:ascii="Times New Roman" w:hAnsi="Times New Roman" w:cs="Times New Roman"/>
                <w:sz w:val="24"/>
                <w:szCs w:val="24"/>
              </w:rPr>
              <w:t>Подпунктом 14 пункта 16 Правил №103 предусмотрено, что в целях оценки готовности потребителей тепловой энергии к отопительному периоду уполномоченный орган должен проверить отсутствие задолженности за поставленные тепловую энергию (мощность), теплоноситель.</w:t>
            </w:r>
            <w:proofErr w:type="gramEnd"/>
          </w:p>
          <w:p w:rsidR="00404AE3" w:rsidRPr="00665690" w:rsidRDefault="00404AE3" w:rsidP="00404AE3">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Орган местного самоуправления, входящий в комиссии по проверке готовности к отопительному периоду потребителей тепловой энергии, не учитывает факт задолженности за поставленные тепловую энергию (мощность), теплоноситель, а также не составляет акт о несоблюдении требований по подготовке к отопительному периоду с указанием сроков устранения замечаний.</w:t>
            </w:r>
          </w:p>
          <w:p w:rsidR="005B36B1" w:rsidRPr="00665690" w:rsidRDefault="00404AE3" w:rsidP="00665690">
            <w:pPr>
              <w:spacing w:after="0" w:line="240" w:lineRule="auto"/>
              <w:jc w:val="both"/>
              <w:rPr>
                <w:rFonts w:ascii="Times New Roman" w:hAnsi="Times New Roman" w:cs="Times New Roman"/>
                <w:sz w:val="24"/>
                <w:szCs w:val="24"/>
              </w:rPr>
            </w:pPr>
            <w:r w:rsidRPr="00665690">
              <w:rPr>
                <w:rFonts w:ascii="Times New Roman" w:hAnsi="Times New Roman" w:cs="Times New Roman"/>
                <w:sz w:val="24"/>
                <w:szCs w:val="24"/>
              </w:rPr>
              <w:t xml:space="preserve">Данное обстоятельство нарушает нормы действующего законодательства, а также законные интересы ПАО «КГК». </w:t>
            </w:r>
            <w:proofErr w:type="gramStart"/>
            <w:r w:rsidRPr="00665690">
              <w:rPr>
                <w:rFonts w:ascii="Times New Roman" w:hAnsi="Times New Roman" w:cs="Times New Roman"/>
                <w:sz w:val="24"/>
                <w:szCs w:val="24"/>
              </w:rPr>
              <w:t>Каким образом можно урегулировать вопрос об учете наличия задолженности  за поставленные тепловую энергию (мощность), теплоноситель у потребителя?</w:t>
            </w:r>
            <w:proofErr w:type="gramEnd"/>
          </w:p>
        </w:tc>
        <w:tc>
          <w:tcPr>
            <w:tcW w:w="9214" w:type="dxa"/>
          </w:tcPr>
          <w:p w:rsidR="00E30DA4" w:rsidRPr="00665690" w:rsidRDefault="00E30DA4" w:rsidP="00E30DA4">
            <w:pPr>
              <w:spacing w:after="0" w:line="240" w:lineRule="auto"/>
              <w:jc w:val="both"/>
              <w:rPr>
                <w:rFonts w:ascii="Times New Roman" w:hAnsi="Times New Roman" w:cs="Times New Roman"/>
                <w:sz w:val="24"/>
                <w:szCs w:val="24"/>
              </w:rPr>
            </w:pPr>
            <w:proofErr w:type="gramStart"/>
            <w:r w:rsidRPr="00665690">
              <w:rPr>
                <w:rFonts w:ascii="Times New Roman" w:hAnsi="Times New Roman" w:cs="Times New Roman"/>
                <w:sz w:val="24"/>
                <w:szCs w:val="24"/>
              </w:rPr>
              <w:t>Да, согласно подпункт</w:t>
            </w:r>
            <w:r w:rsidR="00665690">
              <w:rPr>
                <w:rFonts w:ascii="Times New Roman" w:hAnsi="Times New Roman" w:cs="Times New Roman"/>
                <w:sz w:val="24"/>
                <w:szCs w:val="24"/>
              </w:rPr>
              <w:t>у</w:t>
            </w:r>
            <w:r w:rsidRPr="00665690">
              <w:rPr>
                <w:rFonts w:ascii="Times New Roman" w:hAnsi="Times New Roman" w:cs="Times New Roman"/>
                <w:sz w:val="24"/>
                <w:szCs w:val="24"/>
              </w:rPr>
              <w:t xml:space="preserve"> 14 пункта 16 Правил №103 предусмотрено, что в целях оценки готовности потребителей тепловой энергии к отопительному периоду уполномоченный орган должен проверить отсутствие задолженности за поставленные тепловую энергию (мощность), теплоноситель.</w:t>
            </w:r>
            <w:proofErr w:type="gramEnd"/>
            <w:r w:rsidRPr="00665690">
              <w:rPr>
                <w:rFonts w:ascii="Times New Roman" w:hAnsi="Times New Roman" w:cs="Times New Roman"/>
                <w:sz w:val="24"/>
                <w:szCs w:val="24"/>
              </w:rPr>
              <w:t xml:space="preserve"> При оценке готовности комиссия муниципального образования обязана проверить это условие, и ответственность за его проверку несут члены комиссии, которые проводят проверку потребителя тепловой энергии.</w:t>
            </w:r>
          </w:p>
          <w:p w:rsidR="005B36B1" w:rsidRPr="00665690" w:rsidRDefault="005B36B1" w:rsidP="005B36B1">
            <w:pPr>
              <w:spacing w:after="0" w:line="240" w:lineRule="auto"/>
              <w:jc w:val="both"/>
              <w:rPr>
                <w:rFonts w:ascii="Times New Roman" w:hAnsi="Times New Roman" w:cs="Times New Roman"/>
                <w:sz w:val="24"/>
                <w:szCs w:val="24"/>
              </w:rPr>
            </w:pPr>
          </w:p>
        </w:tc>
      </w:tr>
    </w:tbl>
    <w:p w:rsidR="00E65C7B" w:rsidRPr="00665690" w:rsidRDefault="00E65C7B" w:rsidP="005B36B1">
      <w:pPr>
        <w:spacing w:line="240" w:lineRule="auto"/>
        <w:jc w:val="both"/>
        <w:rPr>
          <w:rFonts w:ascii="Times New Roman" w:hAnsi="Times New Roman" w:cs="Times New Roman"/>
          <w:sz w:val="24"/>
          <w:szCs w:val="24"/>
        </w:rPr>
      </w:pPr>
    </w:p>
    <w:sectPr w:rsidR="00E65C7B" w:rsidRPr="00665690" w:rsidSect="00FB712F">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4DC"/>
    <w:multiLevelType w:val="hybridMultilevel"/>
    <w:tmpl w:val="CB46F2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0041309"/>
    <w:multiLevelType w:val="hybridMultilevel"/>
    <w:tmpl w:val="072C80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42297"/>
    <w:multiLevelType w:val="hybridMultilevel"/>
    <w:tmpl w:val="072C80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4D1941"/>
    <w:multiLevelType w:val="hybridMultilevel"/>
    <w:tmpl w:val="0B6449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03E38"/>
    <w:multiLevelType w:val="hybridMultilevel"/>
    <w:tmpl w:val="5A12FE1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92CDB"/>
    <w:multiLevelType w:val="hybridMultilevel"/>
    <w:tmpl w:val="F26E2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93553"/>
    <w:multiLevelType w:val="hybridMultilevel"/>
    <w:tmpl w:val="02FE4B66"/>
    <w:lvl w:ilvl="0" w:tplc="80BE795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9766D9"/>
    <w:multiLevelType w:val="hybridMultilevel"/>
    <w:tmpl w:val="072C80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7434E5"/>
    <w:multiLevelType w:val="hybridMultilevel"/>
    <w:tmpl w:val="CB46F2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55A0D3D"/>
    <w:multiLevelType w:val="hybridMultilevel"/>
    <w:tmpl w:val="CB46F2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9745522"/>
    <w:multiLevelType w:val="hybridMultilevel"/>
    <w:tmpl w:val="5554D43A"/>
    <w:lvl w:ilvl="0" w:tplc="56CE7A6E">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6A8F3D2C"/>
    <w:multiLevelType w:val="hybridMultilevel"/>
    <w:tmpl w:val="F1F01748"/>
    <w:lvl w:ilvl="0" w:tplc="71E019F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6002C9B"/>
    <w:multiLevelType w:val="hybridMultilevel"/>
    <w:tmpl w:val="072C80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B3525A"/>
    <w:multiLevelType w:val="hybridMultilevel"/>
    <w:tmpl w:val="CB46F2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8"/>
  </w:num>
  <w:num w:numId="3">
    <w:abstractNumId w:val="0"/>
  </w:num>
  <w:num w:numId="4">
    <w:abstractNumId w:val="13"/>
  </w:num>
  <w:num w:numId="5">
    <w:abstractNumId w:val="2"/>
  </w:num>
  <w:num w:numId="6">
    <w:abstractNumId w:val="12"/>
  </w:num>
  <w:num w:numId="7">
    <w:abstractNumId w:val="10"/>
  </w:num>
  <w:num w:numId="8">
    <w:abstractNumId w:val="11"/>
  </w:num>
  <w:num w:numId="9">
    <w:abstractNumId w:val="7"/>
  </w:num>
  <w:num w:numId="10">
    <w:abstractNumId w:val="4"/>
  </w:num>
  <w:num w:numId="11">
    <w:abstractNumId w:val="1"/>
  </w:num>
  <w:num w:numId="12">
    <w:abstractNumId w:val="5"/>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11A7"/>
    <w:rsid w:val="000317D1"/>
    <w:rsid w:val="000324E6"/>
    <w:rsid w:val="000C13BB"/>
    <w:rsid w:val="000C2CB0"/>
    <w:rsid w:val="001135FA"/>
    <w:rsid w:val="00123284"/>
    <w:rsid w:val="00173190"/>
    <w:rsid w:val="00202F24"/>
    <w:rsid w:val="002C7CDB"/>
    <w:rsid w:val="00322B7D"/>
    <w:rsid w:val="0032516F"/>
    <w:rsid w:val="00343ADF"/>
    <w:rsid w:val="0039437C"/>
    <w:rsid w:val="003A2C7C"/>
    <w:rsid w:val="00404AE3"/>
    <w:rsid w:val="004060CE"/>
    <w:rsid w:val="004203B6"/>
    <w:rsid w:val="004375F4"/>
    <w:rsid w:val="00442331"/>
    <w:rsid w:val="004D7784"/>
    <w:rsid w:val="005231D4"/>
    <w:rsid w:val="00535434"/>
    <w:rsid w:val="0055417B"/>
    <w:rsid w:val="0058355D"/>
    <w:rsid w:val="005879FB"/>
    <w:rsid w:val="005B36B1"/>
    <w:rsid w:val="005E3AAD"/>
    <w:rsid w:val="00665690"/>
    <w:rsid w:val="006A59E6"/>
    <w:rsid w:val="006B4688"/>
    <w:rsid w:val="007011A7"/>
    <w:rsid w:val="007920AC"/>
    <w:rsid w:val="0086252A"/>
    <w:rsid w:val="008739C5"/>
    <w:rsid w:val="008D0EE3"/>
    <w:rsid w:val="009B0FED"/>
    <w:rsid w:val="009C0585"/>
    <w:rsid w:val="00A85CDD"/>
    <w:rsid w:val="00B619EC"/>
    <w:rsid w:val="00BB4397"/>
    <w:rsid w:val="00C32611"/>
    <w:rsid w:val="00C350E6"/>
    <w:rsid w:val="00C7174C"/>
    <w:rsid w:val="00CE12A4"/>
    <w:rsid w:val="00DC37F5"/>
    <w:rsid w:val="00DE4005"/>
    <w:rsid w:val="00E30DA4"/>
    <w:rsid w:val="00E401BF"/>
    <w:rsid w:val="00E6025D"/>
    <w:rsid w:val="00E65C7B"/>
    <w:rsid w:val="00E82613"/>
    <w:rsid w:val="00EE21A9"/>
    <w:rsid w:val="00F737DB"/>
    <w:rsid w:val="00F777F0"/>
    <w:rsid w:val="00F904BF"/>
    <w:rsid w:val="00FA3DCE"/>
    <w:rsid w:val="00FB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0CE"/>
    <w:pPr>
      <w:ind w:left="720"/>
      <w:contextualSpacing/>
    </w:pPr>
  </w:style>
  <w:style w:type="paragraph" w:customStyle="1" w:styleId="FORMATTEXT">
    <w:name w:val=".FORMATTEXT"/>
    <w:uiPriority w:val="99"/>
    <w:rsid w:val="00CE12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E30DA4"/>
    <w:rPr>
      <w:color w:val="0000FF" w:themeColor="hyperlink"/>
      <w:u w:val="single"/>
    </w:rPr>
  </w:style>
  <w:style w:type="character" w:styleId="a5">
    <w:name w:val="FollowedHyperlink"/>
    <w:basedOn w:val="a0"/>
    <w:uiPriority w:val="99"/>
    <w:semiHidden/>
    <w:unhideWhenUsed/>
    <w:rsid w:val="00E30D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0CE"/>
    <w:pPr>
      <w:ind w:left="720"/>
      <w:contextualSpacing/>
    </w:pPr>
  </w:style>
  <w:style w:type="paragraph" w:customStyle="1" w:styleId="FORMATTEXT">
    <w:name w:val=".FORMATTEXT"/>
    <w:uiPriority w:val="99"/>
    <w:rsid w:val="00CE12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33DB3D-2261-41B0-929F-4F00325F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EVS</cp:lastModifiedBy>
  <cp:revision>3</cp:revision>
  <dcterms:created xsi:type="dcterms:W3CDTF">2019-11-20T03:11:00Z</dcterms:created>
  <dcterms:modified xsi:type="dcterms:W3CDTF">2019-11-29T07:19:00Z</dcterms:modified>
</cp:coreProperties>
</file>